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4BC" w:rsidRDefault="00CA34BC">
      <w:pPr>
        <w:rPr>
          <w:rFonts w:ascii="Trebuchet MS" w:hAnsi="Trebuchet MS"/>
          <w:b/>
          <w:smallCaps/>
          <w:noProof/>
          <w:color w:val="006699"/>
          <w:sz w:val="52"/>
          <w:szCs w:val="52"/>
          <w:lang w:eastAsia="en-US"/>
        </w:rPr>
      </w:pPr>
      <w:bookmarkStart w:id="0" w:name="_GoBack"/>
      <w:bookmarkEnd w:id="0"/>
    </w:p>
    <w:p w:rsidR="00B63B9A" w:rsidRDefault="00B63B9A">
      <w:pPr>
        <w:pStyle w:val="Ingenafstand"/>
        <w:rPr>
          <w:sz w:val="52"/>
        </w:rPr>
      </w:pPr>
      <w:bookmarkStart w:id="1" w:name="_Toc258405945"/>
    </w:p>
    <w:sdt>
      <w:sdtPr>
        <w:rPr>
          <w:sz w:val="2"/>
        </w:rPr>
        <w:id w:val="887765278"/>
        <w:docPartObj>
          <w:docPartGallery w:val="Cover Pages"/>
          <w:docPartUnique/>
        </w:docPartObj>
      </w:sdtPr>
      <w:sdtEndPr>
        <w:rPr>
          <w:sz w:val="52"/>
        </w:rPr>
      </w:sdtEndPr>
      <w:sdtContent>
        <w:p w:rsidR="00B63B9A" w:rsidRDefault="00B63B9A" w:rsidP="00B63B9A">
          <w:pPr>
            <w:rPr>
              <w:sz w:val="2"/>
            </w:rPr>
          </w:pPr>
        </w:p>
        <w:p w:rsidR="00B63B9A" w:rsidRDefault="00B63B9A">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margin">
                      <wp:align>top</wp:align>
                    </wp:positionV>
                    <wp:extent cx="5943600" cy="914400"/>
                    <wp:effectExtent l="0" t="0" r="0" b="3810"/>
                    <wp:wrapNone/>
                    <wp:docPr id="62" name="Tekstfelt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48DD4" w:themeColor="text2" w:themeTint="99"/>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2A4ACD" w:rsidRDefault="00136B67">
                                    <w:pPr>
                                      <w:pStyle w:val="Ingenafstand"/>
                                      <w:rPr>
                                        <w:rFonts w:asciiTheme="majorHAnsi" w:eastAsiaTheme="majorEastAsia" w:hAnsiTheme="majorHAnsi" w:cstheme="majorBidi"/>
                                        <w:caps/>
                                        <w:color w:val="548DD4" w:themeColor="text2" w:themeTint="99"/>
                                        <w:sz w:val="68"/>
                                        <w:szCs w:val="68"/>
                                      </w:rPr>
                                    </w:pPr>
                                    <w:r>
                                      <w:rPr>
                                        <w:rFonts w:asciiTheme="majorHAnsi" w:eastAsiaTheme="majorEastAsia" w:hAnsiTheme="majorHAnsi" w:cstheme="majorBidi"/>
                                        <w:caps/>
                                        <w:color w:val="548DD4" w:themeColor="text2" w:themeTint="99"/>
                                        <w:sz w:val="64"/>
                                        <w:szCs w:val="64"/>
                                      </w:rPr>
                                      <w:t>Befolkningsprognose 2020 -2030</w:t>
                                    </w:r>
                                  </w:p>
                                </w:sdtContent>
                              </w:sdt>
                              <w:p w:rsidR="002A4ACD" w:rsidRDefault="00D659E8">
                                <w:pPr>
                                  <w:pStyle w:val="Ingenafstand"/>
                                  <w:spacing w:before="120"/>
                                  <w:rPr>
                                    <w:color w:val="4F81BD" w:themeColor="accent1"/>
                                    <w:sz w:val="36"/>
                                    <w:szCs w:val="36"/>
                                  </w:rPr>
                                </w:pPr>
                                <w:sdt>
                                  <w:sdtPr>
                                    <w:rPr>
                                      <w:color w:val="4F81BD" w:themeColor="accent1"/>
                                      <w:sz w:val="36"/>
                                      <w:szCs w:val="36"/>
                                    </w:rPr>
                                    <w:alias w:val="Undertitel"/>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2A4ACD">
                                      <w:rPr>
                                        <w:color w:val="4F81BD" w:themeColor="accent1"/>
                                        <w:sz w:val="36"/>
                                        <w:szCs w:val="36"/>
                                      </w:rPr>
                                      <w:t>Hovedrapporten</w:t>
                                    </w:r>
                                  </w:sdtContent>
                                </w:sdt>
                                <w:r w:rsidR="002A4ACD">
                                  <w:t xml:space="preserve"> </w:t>
                                </w:r>
                              </w:p>
                              <w:p w:rsidR="002A4ACD" w:rsidRDefault="002A4A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id="_x0000_t202" coordsize="21600,21600" o:spt="202" path="m,l,21600r21600,l21600,xe">
                    <v:stroke joinstyle="miter"/>
                    <v:path gradientshapeok="t" o:connecttype="rect"/>
                  </v:shapetype>
                  <v:shape id="Tekstfelt 62" o:spid="_x0000_s1026" type="#_x0000_t202" style="position:absolute;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" filled="f" stroked="f" strokeweight=".5pt">
                    <v:textbox style="mso-fit-shape-to-text:t">
                      <w:txbxContent>
                        <w:sdt>
                          <w:sdtPr>
                            <w:rPr>
                              <w:rFonts w:asciiTheme="majorHAnsi" w:eastAsiaTheme="majorEastAsia" w:hAnsiTheme="majorHAnsi" w:cstheme="majorBidi"/>
                              <w:caps/>
                              <w:color w:val="548DD4" w:themeColor="text2" w:themeTint="99"/>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2A4ACD" w:rsidRDefault="00136B67">
                              <w:pPr>
                                <w:pStyle w:val="Ingenafstand"/>
                                <w:rPr>
                                  <w:rFonts w:asciiTheme="majorHAnsi" w:eastAsiaTheme="majorEastAsia" w:hAnsiTheme="majorHAnsi" w:cstheme="majorBidi"/>
                                  <w:caps/>
                                  <w:color w:val="548DD4" w:themeColor="text2" w:themeTint="99"/>
                                  <w:sz w:val="68"/>
                                  <w:szCs w:val="68"/>
                                </w:rPr>
                              </w:pPr>
                              <w:r>
                                <w:rPr>
                                  <w:rFonts w:asciiTheme="majorHAnsi" w:eastAsiaTheme="majorEastAsia" w:hAnsiTheme="majorHAnsi" w:cstheme="majorBidi"/>
                                  <w:caps/>
                                  <w:color w:val="548DD4" w:themeColor="text2" w:themeTint="99"/>
                                  <w:sz w:val="64"/>
                                  <w:szCs w:val="64"/>
                                </w:rPr>
                                <w:t>Befolkningsprognose 2020 -2030</w:t>
                              </w:r>
                            </w:p>
                          </w:sdtContent>
                        </w:sdt>
                        <w:p w:rsidR="002A4ACD" w:rsidRDefault="00136B67">
                          <w:pPr>
                            <w:pStyle w:val="Ingenafstand"/>
                            <w:spacing w:before="120"/>
                            <w:rPr>
                              <w:color w:val="4F81BD" w:themeColor="accent1"/>
                              <w:sz w:val="36"/>
                              <w:szCs w:val="36"/>
                            </w:rPr>
                          </w:pPr>
                          <w:sdt>
                            <w:sdtPr>
                              <w:rPr>
                                <w:color w:val="4F81BD" w:themeColor="accent1"/>
                                <w:sz w:val="36"/>
                                <w:szCs w:val="36"/>
                              </w:rPr>
                              <w:alias w:val="Undertitel"/>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2A4ACD">
                                <w:rPr>
                                  <w:color w:val="4F81BD" w:themeColor="accent1"/>
                                  <w:sz w:val="36"/>
                                  <w:szCs w:val="36"/>
                                </w:rPr>
                                <w:t>Hovedrapporten</w:t>
                              </w:r>
                            </w:sdtContent>
                          </w:sdt>
                          <w:r w:rsidR="002A4ACD">
                            <w:t xml:space="preserve"> </w:t>
                          </w:r>
                        </w:p>
                        <w:p w:rsidR="002A4ACD" w:rsidRDefault="002A4ACD"/>
                      </w:txbxContent>
                    </v:textbox>
                    <w10:wrap anchorx="page" anchory="margin"/>
                  </v:shape>
                </w:pict>
              </mc:Fallback>
            </mc:AlternateContent>
          </w:r>
          <w:r>
            <w:rPr>
              <w:noProof/>
              <w:color w:val="4F81BD" w:themeColor="accent1"/>
              <w:sz w:val="36"/>
              <w:szCs w:val="36"/>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22000</wp14:pctPosHOffset>
                        </wp:positionH>
                      </mc:Choice>
                      <mc:Fallback>
                        <wp:positionH relativeFrom="page">
                          <wp:posOffset>1662430</wp:posOffset>
                        </wp:positionH>
                      </mc:Fallback>
                    </mc:AlternateContent>
                    <mc:AlternateContent>
                      <mc:Choice Requires="wp14">
                        <wp:positionV relativeFrom="page">
                          <wp14:pctPosVOffset>30000</wp14:pctPosVOffset>
                        </wp:positionV>
                      </mc:Choice>
                      <mc:Fallback>
                        <wp:positionV relativeFrom="page">
                          <wp:posOffset>3208020</wp:posOffset>
                        </wp:positionV>
                      </mc:Fallback>
                    </mc:AlternateContent>
                    <wp:extent cx="5494369" cy="5696712"/>
                    <wp:effectExtent l="0" t="0" r="0" b="3175"/>
                    <wp:wrapNone/>
                    <wp:docPr id="63" name="Gruppe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Kombinationstegning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Kombinationstegning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Kombinationstegning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Kombinationstegning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Kombinationstegning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27913B75" id="Gruppe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">
                    <o:lock v:ext="edit" aspectratio="t"/>
                    <v:shape id="Kombinationstegning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Kombinationstegning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Kombinationstegning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Kombinationstegning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Kombinationstegning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margin">
                      <wp:align>bottom</wp:align>
                    </wp:positionV>
                    <wp:extent cx="5943600" cy="374904"/>
                    <wp:effectExtent l="0" t="0" r="0" b="2540"/>
                    <wp:wrapNone/>
                    <wp:docPr id="69" name="Tekstfelt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4ACD" w:rsidRDefault="00D659E8">
                                <w:pPr>
                                  <w:pStyle w:val="Ingenafstand"/>
                                  <w:jc w:val="right"/>
                                  <w:rPr>
                                    <w:color w:val="4F81BD" w:themeColor="accent1"/>
                                    <w:sz w:val="36"/>
                                    <w:szCs w:val="36"/>
                                  </w:rPr>
                                </w:pPr>
                                <w:sdt>
                                  <w:sdtPr>
                                    <w:rPr>
                                      <w:color w:val="4F81BD" w:themeColor="accent1"/>
                                      <w:sz w:val="36"/>
                                      <w:szCs w:val="36"/>
                                    </w:rPr>
                                    <w:alias w:val="Skole"/>
                                    <w:tag w:val="Skole"/>
                                    <w:id w:val="1850680582"/>
                                    <w:dataBinding w:prefixMappings="xmlns:ns0='http://schemas.openxmlformats.org/officeDocument/2006/extended-properties' " w:xpath="/ns0:Properties[1]/ns0:Company[1]" w:storeItemID="{6668398D-A668-4E3E-A5EB-62B293D839F1}"/>
                                    <w:text/>
                                  </w:sdtPr>
                                  <w:sdtEndPr/>
                                  <w:sdtContent>
                                    <w:r w:rsidR="002A4ACD">
                                      <w:rPr>
                                        <w:color w:val="4F81BD" w:themeColor="accent1"/>
                                        <w:sz w:val="36"/>
                                        <w:szCs w:val="36"/>
                                      </w:rPr>
                                      <w:t>Brøndby Kommune</w:t>
                                    </w:r>
                                  </w:sdtContent>
                                </w:sdt>
                              </w:p>
                              <w:sdt>
                                <w:sdtPr>
                                  <w:rPr>
                                    <w:color w:val="4F81BD" w:themeColor="accent1"/>
                                    <w:sz w:val="36"/>
                                    <w:szCs w:val="36"/>
                                  </w:rPr>
                                  <w:alias w:val="Kursus"/>
                                  <w:tag w:val="Kursus"/>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2A4ACD" w:rsidRDefault="002A4ACD">
                                    <w:pPr>
                                      <w:pStyle w:val="Ingenafstand"/>
                                      <w:jc w:val="right"/>
                                      <w:rPr>
                                        <w:color w:val="4F81BD" w:themeColor="accent1"/>
                                        <w:sz w:val="36"/>
                                        <w:szCs w:val="36"/>
                                      </w:rPr>
                                    </w:pPr>
                                    <w:r>
                                      <w:rPr>
                                        <w:color w:val="4F81BD"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id="Tekstfelt 69" o:spid="_x0000_s1027" type="#_x0000_t202" style="position:absolute;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" filled="f" stroked="f" strokeweight=".5pt">
                    <v:textbox style="mso-fit-shape-to-text:t" inset="0,0,0,0">
                      <w:txbxContent>
                        <w:p w:rsidR="002A4ACD" w:rsidRDefault="002A4ACD">
                          <w:pPr>
                            <w:pStyle w:val="Ingenafstand"/>
                            <w:jc w:val="right"/>
                            <w:rPr>
                              <w:color w:val="4F81BD" w:themeColor="accent1"/>
                              <w:sz w:val="36"/>
                              <w:szCs w:val="36"/>
                            </w:rPr>
                          </w:pPr>
                          <w:sdt>
                            <w:sdtPr>
                              <w:rPr>
                                <w:color w:val="4F81BD" w:themeColor="accent1"/>
                                <w:sz w:val="36"/>
                                <w:szCs w:val="36"/>
                              </w:rPr>
                              <w:alias w:val="Skole"/>
                              <w:tag w:val="Skole"/>
                              <w:id w:val="1850680582"/>
                              <w:dataBinding w:prefixMappings="xmlns:ns0='http://schemas.openxmlformats.org/officeDocument/2006/extended-properties' " w:xpath="/ns0:Properties[1]/ns0:Company[1]" w:storeItemID="{6668398D-A668-4E3E-A5EB-62B293D839F1}"/>
                              <w:text/>
                            </w:sdtPr>
                            <w:sdtContent>
                              <w:r>
                                <w:rPr>
                                  <w:color w:val="4F81BD" w:themeColor="accent1"/>
                                  <w:sz w:val="36"/>
                                  <w:szCs w:val="36"/>
                                </w:rPr>
                                <w:t>Brøndby Kommune</w:t>
                              </w:r>
                            </w:sdtContent>
                          </w:sdt>
                        </w:p>
                        <w:sdt>
                          <w:sdtPr>
                            <w:rPr>
                              <w:color w:val="4F81BD" w:themeColor="accent1"/>
                              <w:sz w:val="36"/>
                              <w:szCs w:val="36"/>
                            </w:rPr>
                            <w:alias w:val="Kursus"/>
                            <w:tag w:val="Kursus"/>
                            <w:id w:val="1717703537"/>
                            <w:showingPlcHdr/>
                            <w:dataBinding w:prefixMappings="xmlns:ns0='http://purl.org/dc/elements/1.1/' xmlns:ns1='http://schemas.openxmlformats.org/package/2006/metadata/core-properties' " w:xpath="/ns1:coreProperties[1]/ns1:category[1]" w:storeItemID="{6C3C8BC8-F283-45AE-878A-BAB7291924A1}"/>
                            <w:text/>
                          </w:sdtPr>
                          <w:sdtContent>
                            <w:p w:rsidR="002A4ACD" w:rsidRDefault="002A4ACD">
                              <w:pPr>
                                <w:pStyle w:val="Ingenafstand"/>
                                <w:jc w:val="right"/>
                                <w:rPr>
                                  <w:color w:val="4F81BD" w:themeColor="accent1"/>
                                  <w:sz w:val="36"/>
                                  <w:szCs w:val="36"/>
                                </w:rPr>
                              </w:pPr>
                              <w:r>
                                <w:rPr>
                                  <w:color w:val="4F81BD" w:themeColor="accent1"/>
                                  <w:sz w:val="36"/>
                                  <w:szCs w:val="36"/>
                                </w:rPr>
                                <w:t xml:space="preserve">     </w:t>
                              </w:r>
                            </w:p>
                          </w:sdtContent>
                        </w:sdt>
                      </w:txbxContent>
                    </v:textbox>
                    <w10:wrap anchorx="page" anchory="margin"/>
                  </v:shape>
                </w:pict>
              </mc:Fallback>
            </mc:AlternateContent>
          </w:r>
        </w:p>
        <w:p w:rsidR="00B63B9A" w:rsidRDefault="00B63B9A">
          <w:pPr>
            <w:rPr>
              <w:rFonts w:ascii="Trebuchet MS" w:hAnsi="Trebuchet MS"/>
              <w:b/>
              <w:smallCaps/>
              <w:noProof/>
              <w:color w:val="006699"/>
              <w:sz w:val="52"/>
              <w:szCs w:val="52"/>
              <w:lang w:eastAsia="en-US"/>
            </w:rPr>
          </w:pPr>
          <w:r>
            <w:rPr>
              <w:sz w:val="52"/>
            </w:rPr>
            <w:br w:type="page"/>
          </w:r>
        </w:p>
      </w:sdtContent>
    </w:sdt>
    <w:p w:rsidR="006D04C4" w:rsidRDefault="006D04C4" w:rsidP="006D04C4">
      <w:pPr>
        <w:pStyle w:val="Indholdsfortegnelse1"/>
      </w:pPr>
    </w:p>
    <w:p w:rsidR="006D04C4" w:rsidRDefault="006D04C4" w:rsidP="006D04C4">
      <w:pPr>
        <w:pStyle w:val="Indholdsfortegnelse1"/>
      </w:pPr>
    </w:p>
    <w:p w:rsidR="005C1A1C" w:rsidRPr="00EA4611" w:rsidRDefault="0064569B">
      <w:pPr>
        <w:pStyle w:val="Indholdsfortegnelse1"/>
        <w:rPr>
          <w:rFonts w:ascii="Arial" w:eastAsiaTheme="minorEastAsia" w:hAnsi="Arial" w:cs="Arial"/>
          <w:b w:val="0"/>
          <w:smallCaps w:val="0"/>
          <w:color w:val="auto"/>
          <w:sz w:val="22"/>
          <w:szCs w:val="22"/>
          <w:lang w:eastAsia="da-DK"/>
        </w:rPr>
      </w:pPr>
      <w:r w:rsidRPr="005C1A1C">
        <w:rPr>
          <w:rFonts w:ascii="Arial" w:hAnsi="Arial" w:cs="Arial"/>
          <w:bCs/>
          <w:smallCaps w:val="0"/>
          <w:color w:val="auto"/>
          <w:sz w:val="24"/>
          <w:szCs w:val="24"/>
          <w:highlight w:val="yellow"/>
        </w:rPr>
        <w:fldChar w:fldCharType="begin"/>
      </w:r>
      <w:r w:rsidRPr="005C1A1C">
        <w:rPr>
          <w:rFonts w:ascii="Arial" w:hAnsi="Arial" w:cs="Arial"/>
          <w:bCs/>
          <w:smallCaps w:val="0"/>
          <w:color w:val="auto"/>
          <w:sz w:val="24"/>
          <w:szCs w:val="24"/>
          <w:highlight w:val="yellow"/>
        </w:rPr>
        <w:instrText xml:space="preserve"> TOC \o "1-3" \h \z \u </w:instrText>
      </w:r>
      <w:r w:rsidRPr="005C1A1C">
        <w:rPr>
          <w:rFonts w:ascii="Arial" w:hAnsi="Arial" w:cs="Arial"/>
          <w:bCs/>
          <w:smallCaps w:val="0"/>
          <w:color w:val="auto"/>
          <w:sz w:val="24"/>
          <w:szCs w:val="24"/>
          <w:highlight w:val="yellow"/>
        </w:rPr>
        <w:fldChar w:fldCharType="separate"/>
      </w:r>
      <w:hyperlink w:anchor="_Toc38355989" w:history="1">
        <w:r w:rsidR="005C1A1C" w:rsidRPr="00EA4611">
          <w:rPr>
            <w:rStyle w:val="Hyperlink"/>
            <w:rFonts w:ascii="Arial" w:hAnsi="Arial" w:cs="Arial"/>
            <w:sz w:val="22"/>
            <w:szCs w:val="22"/>
          </w:rPr>
          <w:t>1</w:t>
        </w:r>
        <w:r w:rsidR="005C1A1C" w:rsidRPr="00EA4611">
          <w:rPr>
            <w:rFonts w:ascii="Arial" w:eastAsiaTheme="minorEastAsia" w:hAnsi="Arial" w:cs="Arial"/>
            <w:b w:val="0"/>
            <w:smallCaps w:val="0"/>
            <w:color w:val="auto"/>
            <w:sz w:val="22"/>
            <w:szCs w:val="22"/>
            <w:lang w:eastAsia="da-DK"/>
          </w:rPr>
          <w:tab/>
        </w:r>
        <w:r w:rsidR="005C1A1C" w:rsidRPr="00EA4611">
          <w:rPr>
            <w:rStyle w:val="Hyperlink"/>
            <w:rFonts w:ascii="Arial" w:hAnsi="Arial" w:cs="Arial"/>
            <w:sz w:val="22"/>
            <w:szCs w:val="22"/>
          </w:rPr>
          <w:t>Resume</w:t>
        </w:r>
        <w:r w:rsidR="005C1A1C" w:rsidRPr="00EA4611">
          <w:rPr>
            <w:rFonts w:ascii="Arial" w:hAnsi="Arial" w:cs="Arial"/>
            <w:webHidden/>
            <w:sz w:val="22"/>
            <w:szCs w:val="22"/>
          </w:rPr>
          <w:tab/>
        </w:r>
        <w:r w:rsidR="005C1A1C" w:rsidRPr="00EA4611">
          <w:rPr>
            <w:rFonts w:ascii="Arial" w:hAnsi="Arial" w:cs="Arial"/>
            <w:webHidden/>
            <w:sz w:val="22"/>
            <w:szCs w:val="22"/>
          </w:rPr>
          <w:fldChar w:fldCharType="begin"/>
        </w:r>
        <w:r w:rsidR="005C1A1C" w:rsidRPr="00EA4611">
          <w:rPr>
            <w:rFonts w:ascii="Arial" w:hAnsi="Arial" w:cs="Arial"/>
            <w:webHidden/>
            <w:sz w:val="22"/>
            <w:szCs w:val="22"/>
          </w:rPr>
          <w:instrText xml:space="preserve"> PAGEREF _Toc38355989 \h </w:instrText>
        </w:r>
        <w:r w:rsidR="005C1A1C" w:rsidRPr="00EA4611">
          <w:rPr>
            <w:rFonts w:ascii="Arial" w:hAnsi="Arial" w:cs="Arial"/>
            <w:webHidden/>
            <w:sz w:val="22"/>
            <w:szCs w:val="22"/>
          </w:rPr>
        </w:r>
        <w:r w:rsidR="005C1A1C" w:rsidRPr="00EA4611">
          <w:rPr>
            <w:rFonts w:ascii="Arial" w:hAnsi="Arial" w:cs="Arial"/>
            <w:webHidden/>
            <w:sz w:val="22"/>
            <w:szCs w:val="22"/>
          </w:rPr>
          <w:fldChar w:fldCharType="separate"/>
        </w:r>
        <w:r w:rsidR="00136B67">
          <w:rPr>
            <w:rFonts w:ascii="Arial" w:hAnsi="Arial" w:cs="Arial"/>
            <w:webHidden/>
            <w:sz w:val="22"/>
            <w:szCs w:val="22"/>
          </w:rPr>
          <w:t>3</w:t>
        </w:r>
        <w:r w:rsidR="005C1A1C" w:rsidRPr="00EA4611">
          <w:rPr>
            <w:rFonts w:ascii="Arial" w:hAnsi="Arial" w:cs="Arial"/>
            <w:webHidden/>
            <w:sz w:val="22"/>
            <w:szCs w:val="22"/>
          </w:rPr>
          <w:fldChar w:fldCharType="end"/>
        </w:r>
      </w:hyperlink>
    </w:p>
    <w:p w:rsidR="005C1A1C" w:rsidRPr="00EA4611" w:rsidRDefault="00D659E8">
      <w:pPr>
        <w:pStyle w:val="Indholdsfortegnelse2"/>
        <w:rPr>
          <w:rFonts w:ascii="Arial" w:eastAsiaTheme="minorEastAsia" w:hAnsi="Arial" w:cs="Arial"/>
          <w:smallCaps w:val="0"/>
          <w:noProof/>
          <w:sz w:val="22"/>
          <w:szCs w:val="22"/>
          <w:lang w:eastAsia="da-DK"/>
        </w:rPr>
      </w:pPr>
      <w:hyperlink w:anchor="_Toc38355990" w:history="1">
        <w:r w:rsidR="005C1A1C" w:rsidRPr="00EA4611">
          <w:rPr>
            <w:rStyle w:val="Hyperlink"/>
            <w:rFonts w:ascii="Arial" w:hAnsi="Arial" w:cs="Arial"/>
            <w:noProof/>
            <w:sz w:val="22"/>
            <w:szCs w:val="22"/>
          </w:rPr>
          <w:t>1.1</w:t>
        </w:r>
        <w:r w:rsidR="005C1A1C" w:rsidRPr="00EA4611">
          <w:rPr>
            <w:rFonts w:ascii="Arial" w:eastAsiaTheme="minorEastAsia" w:hAnsi="Arial" w:cs="Arial"/>
            <w:smallCaps w:val="0"/>
            <w:noProof/>
            <w:sz w:val="22"/>
            <w:szCs w:val="22"/>
            <w:lang w:eastAsia="da-DK"/>
          </w:rPr>
          <w:tab/>
        </w:r>
        <w:r w:rsidR="005C1A1C" w:rsidRPr="00EA4611">
          <w:rPr>
            <w:rStyle w:val="Hyperlink"/>
            <w:rFonts w:ascii="Arial" w:hAnsi="Arial" w:cs="Arial"/>
            <w:noProof/>
            <w:sz w:val="22"/>
            <w:szCs w:val="22"/>
          </w:rPr>
          <w:t>Overordnet udvikling</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_Toc38355990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3</w:t>
        </w:r>
        <w:r w:rsidR="005C1A1C" w:rsidRPr="00EA4611">
          <w:rPr>
            <w:rFonts w:ascii="Arial" w:hAnsi="Arial" w:cs="Arial"/>
            <w:noProof/>
            <w:webHidden/>
            <w:sz w:val="22"/>
            <w:szCs w:val="22"/>
          </w:rPr>
          <w:fldChar w:fldCharType="end"/>
        </w:r>
      </w:hyperlink>
    </w:p>
    <w:p w:rsidR="005C1A1C" w:rsidRPr="00EA4611" w:rsidRDefault="00D659E8">
      <w:pPr>
        <w:pStyle w:val="Indholdsfortegnelse1"/>
        <w:rPr>
          <w:rFonts w:ascii="Arial" w:eastAsiaTheme="minorEastAsia" w:hAnsi="Arial" w:cs="Arial"/>
          <w:b w:val="0"/>
          <w:smallCaps w:val="0"/>
          <w:color w:val="auto"/>
          <w:sz w:val="22"/>
          <w:szCs w:val="22"/>
          <w:lang w:eastAsia="da-DK"/>
        </w:rPr>
      </w:pPr>
      <w:hyperlink w:anchor="_Toc38355991" w:history="1">
        <w:r w:rsidR="005C1A1C" w:rsidRPr="00EA4611">
          <w:rPr>
            <w:rStyle w:val="Hyperlink"/>
            <w:rFonts w:ascii="Arial" w:hAnsi="Arial" w:cs="Arial"/>
            <w:sz w:val="22"/>
            <w:szCs w:val="22"/>
          </w:rPr>
          <w:t>2</w:t>
        </w:r>
        <w:r w:rsidR="005C1A1C" w:rsidRPr="00EA4611">
          <w:rPr>
            <w:rFonts w:ascii="Arial" w:eastAsiaTheme="minorEastAsia" w:hAnsi="Arial" w:cs="Arial"/>
            <w:b w:val="0"/>
            <w:smallCaps w:val="0"/>
            <w:color w:val="auto"/>
            <w:sz w:val="22"/>
            <w:szCs w:val="22"/>
            <w:lang w:eastAsia="da-DK"/>
          </w:rPr>
          <w:tab/>
        </w:r>
        <w:r w:rsidR="005C1A1C" w:rsidRPr="00EA4611">
          <w:rPr>
            <w:rStyle w:val="Hyperlink"/>
            <w:rFonts w:ascii="Arial" w:hAnsi="Arial" w:cs="Arial"/>
            <w:sz w:val="22"/>
            <w:szCs w:val="22"/>
          </w:rPr>
          <w:t>Indledning</w:t>
        </w:r>
        <w:r w:rsidR="005C1A1C" w:rsidRPr="00EA4611">
          <w:rPr>
            <w:rFonts w:ascii="Arial" w:hAnsi="Arial" w:cs="Arial"/>
            <w:webHidden/>
            <w:sz w:val="22"/>
            <w:szCs w:val="22"/>
          </w:rPr>
          <w:tab/>
        </w:r>
        <w:r w:rsidR="005C1A1C" w:rsidRPr="00EA4611">
          <w:rPr>
            <w:rFonts w:ascii="Arial" w:hAnsi="Arial" w:cs="Arial"/>
            <w:webHidden/>
            <w:sz w:val="22"/>
            <w:szCs w:val="22"/>
          </w:rPr>
          <w:fldChar w:fldCharType="begin"/>
        </w:r>
        <w:r w:rsidR="005C1A1C" w:rsidRPr="00EA4611">
          <w:rPr>
            <w:rFonts w:ascii="Arial" w:hAnsi="Arial" w:cs="Arial"/>
            <w:webHidden/>
            <w:sz w:val="22"/>
            <w:szCs w:val="22"/>
          </w:rPr>
          <w:instrText xml:space="preserve"> PAGEREF _Toc38355991 \h </w:instrText>
        </w:r>
        <w:r w:rsidR="005C1A1C" w:rsidRPr="00EA4611">
          <w:rPr>
            <w:rFonts w:ascii="Arial" w:hAnsi="Arial" w:cs="Arial"/>
            <w:webHidden/>
            <w:sz w:val="22"/>
            <w:szCs w:val="22"/>
          </w:rPr>
        </w:r>
        <w:r w:rsidR="005C1A1C" w:rsidRPr="00EA4611">
          <w:rPr>
            <w:rFonts w:ascii="Arial" w:hAnsi="Arial" w:cs="Arial"/>
            <w:webHidden/>
            <w:sz w:val="22"/>
            <w:szCs w:val="22"/>
          </w:rPr>
          <w:fldChar w:fldCharType="separate"/>
        </w:r>
        <w:r w:rsidR="00136B67">
          <w:rPr>
            <w:rFonts w:ascii="Arial" w:hAnsi="Arial" w:cs="Arial"/>
            <w:webHidden/>
            <w:sz w:val="22"/>
            <w:szCs w:val="22"/>
          </w:rPr>
          <w:t>5</w:t>
        </w:r>
        <w:r w:rsidR="005C1A1C" w:rsidRPr="00EA4611">
          <w:rPr>
            <w:rFonts w:ascii="Arial" w:hAnsi="Arial" w:cs="Arial"/>
            <w:webHidden/>
            <w:sz w:val="22"/>
            <w:szCs w:val="22"/>
          </w:rPr>
          <w:fldChar w:fldCharType="end"/>
        </w:r>
      </w:hyperlink>
    </w:p>
    <w:p w:rsidR="005C1A1C" w:rsidRPr="00EA4611" w:rsidRDefault="00D659E8">
      <w:pPr>
        <w:pStyle w:val="Indholdsfortegnelse2"/>
        <w:rPr>
          <w:rFonts w:ascii="Arial" w:eastAsiaTheme="minorEastAsia" w:hAnsi="Arial" w:cs="Arial"/>
          <w:smallCaps w:val="0"/>
          <w:noProof/>
          <w:sz w:val="22"/>
          <w:szCs w:val="22"/>
          <w:lang w:eastAsia="da-DK"/>
        </w:rPr>
      </w:pPr>
      <w:hyperlink w:anchor="_Toc38355992" w:history="1">
        <w:r w:rsidR="005C1A1C" w:rsidRPr="00EA4611">
          <w:rPr>
            <w:rStyle w:val="Hyperlink"/>
            <w:rFonts w:ascii="Arial" w:hAnsi="Arial" w:cs="Arial"/>
            <w:noProof/>
            <w:sz w:val="22"/>
            <w:szCs w:val="22"/>
          </w:rPr>
          <w:t>2.1</w:t>
        </w:r>
        <w:r w:rsidR="005C1A1C" w:rsidRPr="00EA4611">
          <w:rPr>
            <w:rFonts w:ascii="Arial" w:eastAsiaTheme="minorEastAsia" w:hAnsi="Arial" w:cs="Arial"/>
            <w:smallCaps w:val="0"/>
            <w:noProof/>
            <w:sz w:val="22"/>
            <w:szCs w:val="22"/>
            <w:lang w:eastAsia="da-DK"/>
          </w:rPr>
          <w:tab/>
        </w:r>
        <w:r w:rsidR="005C1A1C" w:rsidRPr="00EA4611">
          <w:rPr>
            <w:rStyle w:val="Hyperlink"/>
            <w:rFonts w:ascii="Arial" w:hAnsi="Arial" w:cs="Arial"/>
            <w:noProof/>
            <w:sz w:val="22"/>
            <w:szCs w:val="22"/>
          </w:rPr>
          <w:t>Baggrund – hvorfor en befolkningsprognose</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_Toc38355992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5</w:t>
        </w:r>
        <w:r w:rsidR="005C1A1C" w:rsidRPr="00EA4611">
          <w:rPr>
            <w:rFonts w:ascii="Arial" w:hAnsi="Arial" w:cs="Arial"/>
            <w:noProof/>
            <w:webHidden/>
            <w:sz w:val="22"/>
            <w:szCs w:val="22"/>
          </w:rPr>
          <w:fldChar w:fldCharType="end"/>
        </w:r>
      </w:hyperlink>
    </w:p>
    <w:p w:rsidR="005C1A1C" w:rsidRPr="00EA4611" w:rsidRDefault="00D659E8">
      <w:pPr>
        <w:pStyle w:val="Indholdsfortegnelse2"/>
        <w:rPr>
          <w:rFonts w:ascii="Arial" w:eastAsiaTheme="minorEastAsia" w:hAnsi="Arial" w:cs="Arial"/>
          <w:smallCaps w:val="0"/>
          <w:noProof/>
          <w:sz w:val="22"/>
          <w:szCs w:val="22"/>
          <w:lang w:eastAsia="da-DK"/>
        </w:rPr>
      </w:pPr>
      <w:hyperlink w:anchor="_Toc38355993" w:history="1">
        <w:r w:rsidR="005C1A1C" w:rsidRPr="00EA4611">
          <w:rPr>
            <w:rStyle w:val="Hyperlink"/>
            <w:rFonts w:ascii="Arial" w:hAnsi="Arial" w:cs="Arial"/>
            <w:noProof/>
            <w:sz w:val="22"/>
            <w:szCs w:val="22"/>
          </w:rPr>
          <w:t>2.2</w:t>
        </w:r>
        <w:r w:rsidR="005C1A1C" w:rsidRPr="00EA4611">
          <w:rPr>
            <w:rFonts w:ascii="Arial" w:eastAsiaTheme="minorEastAsia" w:hAnsi="Arial" w:cs="Arial"/>
            <w:smallCaps w:val="0"/>
            <w:noProof/>
            <w:sz w:val="22"/>
            <w:szCs w:val="22"/>
            <w:lang w:eastAsia="da-DK"/>
          </w:rPr>
          <w:tab/>
        </w:r>
        <w:r w:rsidR="005C1A1C" w:rsidRPr="00EA4611">
          <w:rPr>
            <w:rStyle w:val="Hyperlink"/>
            <w:rFonts w:ascii="Arial" w:hAnsi="Arial" w:cs="Arial"/>
            <w:noProof/>
            <w:sz w:val="22"/>
            <w:szCs w:val="22"/>
          </w:rPr>
          <w:t>PCB i fem højhuse i Brøndby Strand</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_Toc38355993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6</w:t>
        </w:r>
        <w:r w:rsidR="005C1A1C" w:rsidRPr="00EA4611">
          <w:rPr>
            <w:rFonts w:ascii="Arial" w:hAnsi="Arial" w:cs="Arial"/>
            <w:noProof/>
            <w:webHidden/>
            <w:sz w:val="22"/>
            <w:szCs w:val="22"/>
          </w:rPr>
          <w:fldChar w:fldCharType="end"/>
        </w:r>
      </w:hyperlink>
    </w:p>
    <w:p w:rsidR="005C1A1C" w:rsidRPr="00EA4611" w:rsidRDefault="00D659E8">
      <w:pPr>
        <w:pStyle w:val="Indholdsfortegnelse2"/>
        <w:rPr>
          <w:rFonts w:ascii="Arial" w:eastAsiaTheme="minorEastAsia" w:hAnsi="Arial" w:cs="Arial"/>
          <w:smallCaps w:val="0"/>
          <w:noProof/>
          <w:sz w:val="22"/>
          <w:szCs w:val="22"/>
          <w:lang w:eastAsia="da-DK"/>
        </w:rPr>
      </w:pPr>
      <w:hyperlink w:anchor="_Toc38355994" w:history="1">
        <w:r w:rsidR="005C1A1C" w:rsidRPr="00EA4611">
          <w:rPr>
            <w:rStyle w:val="Hyperlink"/>
            <w:rFonts w:ascii="Arial" w:hAnsi="Arial" w:cs="Arial"/>
            <w:noProof/>
            <w:sz w:val="22"/>
            <w:szCs w:val="22"/>
          </w:rPr>
          <w:t>2.3</w:t>
        </w:r>
        <w:r w:rsidR="005C1A1C" w:rsidRPr="00EA4611">
          <w:rPr>
            <w:rFonts w:ascii="Arial" w:eastAsiaTheme="minorEastAsia" w:hAnsi="Arial" w:cs="Arial"/>
            <w:smallCaps w:val="0"/>
            <w:noProof/>
            <w:sz w:val="22"/>
            <w:szCs w:val="22"/>
            <w:lang w:eastAsia="da-DK"/>
          </w:rPr>
          <w:tab/>
        </w:r>
        <w:r w:rsidR="005C1A1C" w:rsidRPr="00EA4611">
          <w:rPr>
            <w:rStyle w:val="Hyperlink"/>
            <w:rFonts w:ascii="Arial" w:hAnsi="Arial" w:cs="Arial"/>
            <w:noProof/>
            <w:sz w:val="22"/>
            <w:szCs w:val="22"/>
          </w:rPr>
          <w:t>Kirkebjerg – byudviklingsprojekt</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_Toc38355994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6</w:t>
        </w:r>
        <w:r w:rsidR="005C1A1C" w:rsidRPr="00EA4611">
          <w:rPr>
            <w:rFonts w:ascii="Arial" w:hAnsi="Arial" w:cs="Arial"/>
            <w:noProof/>
            <w:webHidden/>
            <w:sz w:val="22"/>
            <w:szCs w:val="22"/>
          </w:rPr>
          <w:fldChar w:fldCharType="end"/>
        </w:r>
      </w:hyperlink>
    </w:p>
    <w:p w:rsidR="005C1A1C" w:rsidRPr="00EA4611" w:rsidRDefault="00D659E8">
      <w:pPr>
        <w:pStyle w:val="Indholdsfortegnelse1"/>
        <w:rPr>
          <w:rFonts w:ascii="Arial" w:eastAsiaTheme="minorEastAsia" w:hAnsi="Arial" w:cs="Arial"/>
          <w:b w:val="0"/>
          <w:smallCaps w:val="0"/>
          <w:color w:val="auto"/>
          <w:sz w:val="22"/>
          <w:szCs w:val="22"/>
          <w:lang w:eastAsia="da-DK"/>
        </w:rPr>
      </w:pPr>
      <w:hyperlink w:anchor="_Toc38355995" w:history="1">
        <w:r w:rsidR="005C1A1C" w:rsidRPr="00EA4611">
          <w:rPr>
            <w:rStyle w:val="Hyperlink"/>
            <w:rFonts w:ascii="Arial" w:hAnsi="Arial" w:cs="Arial"/>
            <w:sz w:val="22"/>
            <w:szCs w:val="22"/>
          </w:rPr>
          <w:t>3</w:t>
        </w:r>
        <w:r w:rsidR="005C1A1C" w:rsidRPr="00EA4611">
          <w:rPr>
            <w:rFonts w:ascii="Arial" w:eastAsiaTheme="minorEastAsia" w:hAnsi="Arial" w:cs="Arial"/>
            <w:b w:val="0"/>
            <w:smallCaps w:val="0"/>
            <w:color w:val="auto"/>
            <w:sz w:val="22"/>
            <w:szCs w:val="22"/>
            <w:lang w:eastAsia="da-DK"/>
          </w:rPr>
          <w:tab/>
        </w:r>
        <w:r w:rsidR="005C1A1C" w:rsidRPr="00EA4611">
          <w:rPr>
            <w:rStyle w:val="Hyperlink"/>
            <w:rFonts w:ascii="Arial" w:hAnsi="Arial" w:cs="Arial"/>
            <w:sz w:val="22"/>
            <w:szCs w:val="22"/>
          </w:rPr>
          <w:t>Historik</w:t>
        </w:r>
        <w:r w:rsidR="005C1A1C" w:rsidRPr="00EA4611">
          <w:rPr>
            <w:rFonts w:ascii="Arial" w:hAnsi="Arial" w:cs="Arial"/>
            <w:webHidden/>
            <w:sz w:val="22"/>
            <w:szCs w:val="22"/>
          </w:rPr>
          <w:tab/>
        </w:r>
        <w:r w:rsidR="005C1A1C" w:rsidRPr="00EA4611">
          <w:rPr>
            <w:rFonts w:ascii="Arial" w:hAnsi="Arial" w:cs="Arial"/>
            <w:webHidden/>
            <w:sz w:val="22"/>
            <w:szCs w:val="22"/>
          </w:rPr>
          <w:fldChar w:fldCharType="begin"/>
        </w:r>
        <w:r w:rsidR="005C1A1C" w:rsidRPr="00EA4611">
          <w:rPr>
            <w:rFonts w:ascii="Arial" w:hAnsi="Arial" w:cs="Arial"/>
            <w:webHidden/>
            <w:sz w:val="22"/>
            <w:szCs w:val="22"/>
          </w:rPr>
          <w:instrText xml:space="preserve"> PAGEREF _Toc38355995 \h </w:instrText>
        </w:r>
        <w:r w:rsidR="005C1A1C" w:rsidRPr="00EA4611">
          <w:rPr>
            <w:rFonts w:ascii="Arial" w:hAnsi="Arial" w:cs="Arial"/>
            <w:webHidden/>
            <w:sz w:val="22"/>
            <w:szCs w:val="22"/>
          </w:rPr>
        </w:r>
        <w:r w:rsidR="005C1A1C" w:rsidRPr="00EA4611">
          <w:rPr>
            <w:rFonts w:ascii="Arial" w:hAnsi="Arial" w:cs="Arial"/>
            <w:webHidden/>
            <w:sz w:val="22"/>
            <w:szCs w:val="22"/>
          </w:rPr>
          <w:fldChar w:fldCharType="separate"/>
        </w:r>
        <w:r w:rsidR="00136B67">
          <w:rPr>
            <w:rFonts w:ascii="Arial" w:hAnsi="Arial" w:cs="Arial"/>
            <w:webHidden/>
            <w:sz w:val="22"/>
            <w:szCs w:val="22"/>
          </w:rPr>
          <w:t>8</w:t>
        </w:r>
        <w:r w:rsidR="005C1A1C" w:rsidRPr="00EA4611">
          <w:rPr>
            <w:rFonts w:ascii="Arial" w:hAnsi="Arial" w:cs="Arial"/>
            <w:webHidden/>
            <w:sz w:val="22"/>
            <w:szCs w:val="22"/>
          </w:rPr>
          <w:fldChar w:fldCharType="end"/>
        </w:r>
      </w:hyperlink>
    </w:p>
    <w:p w:rsidR="005C1A1C" w:rsidRPr="00EA4611" w:rsidRDefault="00D659E8">
      <w:pPr>
        <w:pStyle w:val="Indholdsfortegnelse2"/>
        <w:rPr>
          <w:rFonts w:ascii="Arial" w:eastAsiaTheme="minorEastAsia" w:hAnsi="Arial" w:cs="Arial"/>
          <w:smallCaps w:val="0"/>
          <w:noProof/>
          <w:sz w:val="22"/>
          <w:szCs w:val="22"/>
          <w:lang w:eastAsia="da-DK"/>
        </w:rPr>
      </w:pPr>
      <w:hyperlink w:anchor="_Toc38355996" w:history="1">
        <w:r w:rsidR="005C1A1C" w:rsidRPr="00EA4611">
          <w:rPr>
            <w:rStyle w:val="Hyperlink"/>
            <w:rFonts w:ascii="Arial" w:hAnsi="Arial" w:cs="Arial"/>
            <w:noProof/>
            <w:sz w:val="22"/>
            <w:szCs w:val="22"/>
          </w:rPr>
          <w:t>3.1</w:t>
        </w:r>
        <w:r w:rsidR="005C1A1C" w:rsidRPr="00EA4611">
          <w:rPr>
            <w:rFonts w:ascii="Arial" w:eastAsiaTheme="minorEastAsia" w:hAnsi="Arial" w:cs="Arial"/>
            <w:smallCaps w:val="0"/>
            <w:noProof/>
            <w:sz w:val="22"/>
            <w:szCs w:val="22"/>
            <w:lang w:eastAsia="da-DK"/>
          </w:rPr>
          <w:tab/>
        </w:r>
        <w:r w:rsidR="005C1A1C" w:rsidRPr="00EA4611">
          <w:rPr>
            <w:rStyle w:val="Hyperlink"/>
            <w:rFonts w:ascii="Arial" w:hAnsi="Arial" w:cs="Arial"/>
            <w:noProof/>
            <w:sz w:val="22"/>
            <w:szCs w:val="22"/>
          </w:rPr>
          <w:t>Befolkningens bevægelser i 2019</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_Toc38355996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8</w:t>
        </w:r>
        <w:r w:rsidR="005C1A1C" w:rsidRPr="00EA4611">
          <w:rPr>
            <w:rFonts w:ascii="Arial" w:hAnsi="Arial" w:cs="Arial"/>
            <w:noProof/>
            <w:webHidden/>
            <w:sz w:val="22"/>
            <w:szCs w:val="22"/>
          </w:rPr>
          <w:fldChar w:fldCharType="end"/>
        </w:r>
      </w:hyperlink>
    </w:p>
    <w:p w:rsidR="005C1A1C" w:rsidRPr="00EA4611" w:rsidRDefault="00D659E8">
      <w:pPr>
        <w:pStyle w:val="Indholdsfortegnelse2"/>
        <w:rPr>
          <w:rFonts w:ascii="Arial" w:eastAsiaTheme="minorEastAsia" w:hAnsi="Arial" w:cs="Arial"/>
          <w:smallCaps w:val="0"/>
          <w:noProof/>
          <w:sz w:val="22"/>
          <w:szCs w:val="22"/>
          <w:lang w:eastAsia="da-DK"/>
        </w:rPr>
      </w:pPr>
      <w:hyperlink w:anchor="_Toc38355997" w:history="1">
        <w:r w:rsidR="005C1A1C" w:rsidRPr="00EA4611">
          <w:rPr>
            <w:rStyle w:val="Hyperlink"/>
            <w:rFonts w:ascii="Arial" w:hAnsi="Arial" w:cs="Arial"/>
            <w:noProof/>
            <w:sz w:val="22"/>
            <w:szCs w:val="22"/>
          </w:rPr>
          <w:t>3.2</w:t>
        </w:r>
        <w:r w:rsidR="005C1A1C" w:rsidRPr="00EA4611">
          <w:rPr>
            <w:rFonts w:ascii="Arial" w:eastAsiaTheme="minorEastAsia" w:hAnsi="Arial" w:cs="Arial"/>
            <w:smallCaps w:val="0"/>
            <w:noProof/>
            <w:sz w:val="22"/>
            <w:szCs w:val="22"/>
            <w:lang w:eastAsia="da-DK"/>
          </w:rPr>
          <w:tab/>
        </w:r>
        <w:r w:rsidR="005C1A1C" w:rsidRPr="00EA4611">
          <w:rPr>
            <w:rStyle w:val="Hyperlink"/>
            <w:rFonts w:ascii="Arial" w:hAnsi="Arial" w:cs="Arial"/>
            <w:noProof/>
            <w:sz w:val="22"/>
            <w:szCs w:val="22"/>
          </w:rPr>
          <w:t>Befolkningens bevægelser i perioden 2011-2020</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_Toc38355997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9</w:t>
        </w:r>
        <w:r w:rsidR="005C1A1C" w:rsidRPr="00EA4611">
          <w:rPr>
            <w:rFonts w:ascii="Arial" w:hAnsi="Arial" w:cs="Arial"/>
            <w:noProof/>
            <w:webHidden/>
            <w:sz w:val="22"/>
            <w:szCs w:val="22"/>
          </w:rPr>
          <w:fldChar w:fldCharType="end"/>
        </w:r>
      </w:hyperlink>
    </w:p>
    <w:p w:rsidR="005C1A1C" w:rsidRPr="00EA4611" w:rsidRDefault="00D659E8">
      <w:pPr>
        <w:pStyle w:val="Indholdsfortegnelse2"/>
        <w:rPr>
          <w:rFonts w:ascii="Arial" w:eastAsiaTheme="minorEastAsia" w:hAnsi="Arial" w:cs="Arial"/>
          <w:smallCaps w:val="0"/>
          <w:noProof/>
          <w:sz w:val="22"/>
          <w:szCs w:val="22"/>
          <w:lang w:eastAsia="da-DK"/>
        </w:rPr>
      </w:pPr>
      <w:hyperlink w:anchor="_Toc38355998" w:history="1">
        <w:r w:rsidR="005C1A1C" w:rsidRPr="00EA4611">
          <w:rPr>
            <w:rStyle w:val="Hyperlink"/>
            <w:rFonts w:ascii="Arial" w:hAnsi="Arial" w:cs="Arial"/>
            <w:noProof/>
            <w:sz w:val="22"/>
            <w:szCs w:val="22"/>
          </w:rPr>
          <w:t>3.3</w:t>
        </w:r>
        <w:r w:rsidR="005C1A1C" w:rsidRPr="00EA4611">
          <w:rPr>
            <w:rFonts w:ascii="Arial" w:eastAsiaTheme="minorEastAsia" w:hAnsi="Arial" w:cs="Arial"/>
            <w:smallCaps w:val="0"/>
            <w:noProof/>
            <w:sz w:val="22"/>
            <w:szCs w:val="22"/>
            <w:lang w:eastAsia="da-DK"/>
          </w:rPr>
          <w:tab/>
        </w:r>
        <w:r w:rsidR="005C1A1C" w:rsidRPr="00EA4611">
          <w:rPr>
            <w:rStyle w:val="Hyperlink"/>
            <w:rFonts w:ascii="Arial" w:hAnsi="Arial" w:cs="Arial"/>
            <w:noProof/>
            <w:sz w:val="22"/>
            <w:szCs w:val="22"/>
          </w:rPr>
          <w:t>Befolkningens udvikling sammenlignet med andre kommuner</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_Toc38355998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9</w:t>
        </w:r>
        <w:r w:rsidR="005C1A1C" w:rsidRPr="00EA4611">
          <w:rPr>
            <w:rFonts w:ascii="Arial" w:hAnsi="Arial" w:cs="Arial"/>
            <w:noProof/>
            <w:webHidden/>
            <w:sz w:val="22"/>
            <w:szCs w:val="22"/>
          </w:rPr>
          <w:fldChar w:fldCharType="end"/>
        </w:r>
      </w:hyperlink>
    </w:p>
    <w:p w:rsidR="005C1A1C" w:rsidRPr="00EA4611" w:rsidRDefault="00D659E8">
      <w:pPr>
        <w:pStyle w:val="Indholdsfortegnelse1"/>
        <w:rPr>
          <w:rFonts w:ascii="Arial" w:eastAsiaTheme="minorEastAsia" w:hAnsi="Arial" w:cs="Arial"/>
          <w:b w:val="0"/>
          <w:smallCaps w:val="0"/>
          <w:color w:val="auto"/>
          <w:sz w:val="22"/>
          <w:szCs w:val="22"/>
          <w:lang w:eastAsia="da-DK"/>
        </w:rPr>
      </w:pPr>
      <w:hyperlink w:anchor="_Toc38355999" w:history="1">
        <w:r w:rsidR="005C1A1C" w:rsidRPr="00EA4611">
          <w:rPr>
            <w:rStyle w:val="Hyperlink"/>
            <w:rFonts w:ascii="Arial" w:hAnsi="Arial" w:cs="Arial"/>
            <w:sz w:val="22"/>
            <w:szCs w:val="22"/>
          </w:rPr>
          <w:t>4</w:t>
        </w:r>
        <w:r w:rsidR="005C1A1C" w:rsidRPr="00EA4611">
          <w:rPr>
            <w:rFonts w:ascii="Arial" w:eastAsiaTheme="minorEastAsia" w:hAnsi="Arial" w:cs="Arial"/>
            <w:b w:val="0"/>
            <w:smallCaps w:val="0"/>
            <w:color w:val="auto"/>
            <w:sz w:val="22"/>
            <w:szCs w:val="22"/>
            <w:lang w:eastAsia="da-DK"/>
          </w:rPr>
          <w:tab/>
        </w:r>
        <w:r w:rsidR="005C1A1C" w:rsidRPr="00EA4611">
          <w:rPr>
            <w:rStyle w:val="Hyperlink"/>
            <w:rFonts w:ascii="Arial" w:hAnsi="Arial" w:cs="Arial"/>
            <w:sz w:val="22"/>
            <w:szCs w:val="22"/>
          </w:rPr>
          <w:t>Prognose</w:t>
        </w:r>
        <w:r w:rsidR="005C1A1C" w:rsidRPr="00EA4611">
          <w:rPr>
            <w:rFonts w:ascii="Arial" w:hAnsi="Arial" w:cs="Arial"/>
            <w:webHidden/>
            <w:sz w:val="22"/>
            <w:szCs w:val="22"/>
          </w:rPr>
          <w:tab/>
        </w:r>
        <w:r w:rsidR="005C1A1C" w:rsidRPr="00EA4611">
          <w:rPr>
            <w:rFonts w:ascii="Arial" w:hAnsi="Arial" w:cs="Arial"/>
            <w:webHidden/>
            <w:sz w:val="22"/>
            <w:szCs w:val="22"/>
          </w:rPr>
          <w:fldChar w:fldCharType="begin"/>
        </w:r>
        <w:r w:rsidR="005C1A1C" w:rsidRPr="00EA4611">
          <w:rPr>
            <w:rFonts w:ascii="Arial" w:hAnsi="Arial" w:cs="Arial"/>
            <w:webHidden/>
            <w:sz w:val="22"/>
            <w:szCs w:val="22"/>
          </w:rPr>
          <w:instrText xml:space="preserve"> PAGEREF _Toc38355999 \h </w:instrText>
        </w:r>
        <w:r w:rsidR="005C1A1C" w:rsidRPr="00EA4611">
          <w:rPr>
            <w:rFonts w:ascii="Arial" w:hAnsi="Arial" w:cs="Arial"/>
            <w:webHidden/>
            <w:sz w:val="22"/>
            <w:szCs w:val="22"/>
          </w:rPr>
        </w:r>
        <w:r w:rsidR="005C1A1C" w:rsidRPr="00EA4611">
          <w:rPr>
            <w:rFonts w:ascii="Arial" w:hAnsi="Arial" w:cs="Arial"/>
            <w:webHidden/>
            <w:sz w:val="22"/>
            <w:szCs w:val="22"/>
          </w:rPr>
          <w:fldChar w:fldCharType="separate"/>
        </w:r>
        <w:r w:rsidR="00136B67">
          <w:rPr>
            <w:rFonts w:ascii="Arial" w:hAnsi="Arial" w:cs="Arial"/>
            <w:webHidden/>
            <w:sz w:val="22"/>
            <w:szCs w:val="22"/>
          </w:rPr>
          <w:t>12</w:t>
        </w:r>
        <w:r w:rsidR="005C1A1C" w:rsidRPr="00EA4611">
          <w:rPr>
            <w:rFonts w:ascii="Arial" w:hAnsi="Arial" w:cs="Arial"/>
            <w:webHidden/>
            <w:sz w:val="22"/>
            <w:szCs w:val="22"/>
          </w:rPr>
          <w:fldChar w:fldCharType="end"/>
        </w:r>
      </w:hyperlink>
    </w:p>
    <w:p w:rsidR="005C1A1C" w:rsidRPr="00EA4611" w:rsidRDefault="00D659E8">
      <w:pPr>
        <w:pStyle w:val="Indholdsfortegnelse2"/>
        <w:rPr>
          <w:rFonts w:ascii="Arial" w:eastAsiaTheme="minorEastAsia" w:hAnsi="Arial" w:cs="Arial"/>
          <w:smallCaps w:val="0"/>
          <w:noProof/>
          <w:sz w:val="22"/>
          <w:szCs w:val="22"/>
          <w:lang w:eastAsia="da-DK"/>
        </w:rPr>
      </w:pPr>
      <w:hyperlink w:anchor="_Toc38356000" w:history="1">
        <w:r w:rsidR="005C1A1C" w:rsidRPr="00EA4611">
          <w:rPr>
            <w:rStyle w:val="Hyperlink"/>
            <w:rFonts w:ascii="Arial" w:hAnsi="Arial" w:cs="Arial"/>
            <w:noProof/>
            <w:sz w:val="22"/>
            <w:szCs w:val="22"/>
          </w:rPr>
          <w:t>4.1</w:t>
        </w:r>
        <w:r w:rsidR="005C1A1C" w:rsidRPr="00EA4611">
          <w:rPr>
            <w:rFonts w:ascii="Arial" w:eastAsiaTheme="minorEastAsia" w:hAnsi="Arial" w:cs="Arial"/>
            <w:smallCaps w:val="0"/>
            <w:noProof/>
            <w:sz w:val="22"/>
            <w:szCs w:val="22"/>
            <w:lang w:eastAsia="da-DK"/>
          </w:rPr>
          <w:tab/>
        </w:r>
        <w:r w:rsidR="005C1A1C" w:rsidRPr="00EA4611">
          <w:rPr>
            <w:rStyle w:val="Hyperlink"/>
            <w:rFonts w:ascii="Arial" w:hAnsi="Arial" w:cs="Arial"/>
            <w:noProof/>
            <w:sz w:val="22"/>
            <w:szCs w:val="22"/>
          </w:rPr>
          <w:t>Befolkningsfremskrivning for hele kommunen</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_Toc38356000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12</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01" w:history="1">
        <w:r w:rsidR="005C1A1C" w:rsidRPr="00EA4611">
          <w:rPr>
            <w:rStyle w:val="Hyperlink"/>
            <w:rFonts w:ascii="Arial" w:hAnsi="Arial" w:cs="Arial"/>
            <w:noProof/>
            <w:sz w:val="22"/>
            <w:szCs w:val="22"/>
          </w:rPr>
          <w:t>4.1.1</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Overordnet udvikling</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_Toc38356001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12</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02" w:history="1">
        <w:r w:rsidR="005C1A1C" w:rsidRPr="00EA4611">
          <w:rPr>
            <w:rStyle w:val="Hyperlink"/>
            <w:rFonts w:ascii="Arial" w:hAnsi="Arial" w:cs="Arial"/>
            <w:noProof/>
            <w:sz w:val="22"/>
            <w:szCs w:val="22"/>
          </w:rPr>
          <w:t>4.1.2</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Udviklingen i befolkningstallet, forventninger og fakta</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_Toc38356002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13</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03" w:history="1">
        <w:r w:rsidR="005C1A1C" w:rsidRPr="00EA4611">
          <w:rPr>
            <w:rStyle w:val="Hyperlink"/>
            <w:rFonts w:ascii="Arial" w:hAnsi="Arial" w:cs="Arial"/>
            <w:noProof/>
            <w:sz w:val="22"/>
            <w:szCs w:val="22"/>
          </w:rPr>
          <w:t>4.1.3</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Overordnet udvikling</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_Toc38356003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14</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04" w:history="1">
        <w:r w:rsidR="005C1A1C" w:rsidRPr="00EA4611">
          <w:rPr>
            <w:rStyle w:val="Hyperlink"/>
            <w:rFonts w:ascii="Arial" w:hAnsi="Arial" w:cs="Arial"/>
            <w:noProof/>
            <w:sz w:val="22"/>
            <w:szCs w:val="22"/>
          </w:rPr>
          <w:t>4.1.4</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Danmarks Statistiks befolkningsprognose</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_Toc38356004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15</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05" w:history="1">
        <w:r w:rsidR="005C1A1C" w:rsidRPr="00EA4611">
          <w:rPr>
            <w:rStyle w:val="Hyperlink"/>
            <w:rFonts w:ascii="Arial" w:hAnsi="Arial" w:cs="Arial"/>
            <w:noProof/>
            <w:sz w:val="22"/>
            <w:szCs w:val="22"/>
          </w:rPr>
          <w:t>4.1.5</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Udviklingen på kort sigt</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_Toc38356005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16</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06" w:history="1">
        <w:r w:rsidR="005C1A1C" w:rsidRPr="00EA4611">
          <w:rPr>
            <w:rStyle w:val="Hyperlink"/>
            <w:rFonts w:ascii="Arial" w:hAnsi="Arial" w:cs="Arial"/>
            <w:noProof/>
            <w:sz w:val="22"/>
            <w:szCs w:val="22"/>
          </w:rPr>
          <w:t>4.1.6</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Udviklingen på mellemlang sigt og på lang sigt</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_Toc38356006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17</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07" w:history="1">
        <w:r w:rsidR="005C1A1C" w:rsidRPr="00EA4611">
          <w:rPr>
            <w:rStyle w:val="Hyperlink"/>
            <w:rFonts w:ascii="Arial" w:hAnsi="Arial" w:cs="Arial"/>
            <w:noProof/>
            <w:sz w:val="22"/>
            <w:szCs w:val="22"/>
          </w:rPr>
          <w:t>4.1.7</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Forskydninger mellem aldersgrupperne</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_Toc38356007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18</w:t>
        </w:r>
        <w:r w:rsidR="005C1A1C" w:rsidRPr="00EA4611">
          <w:rPr>
            <w:rFonts w:ascii="Arial" w:hAnsi="Arial" w:cs="Arial"/>
            <w:noProof/>
            <w:webHidden/>
            <w:sz w:val="22"/>
            <w:szCs w:val="22"/>
          </w:rPr>
          <w:fldChar w:fldCharType="end"/>
        </w:r>
      </w:hyperlink>
    </w:p>
    <w:p w:rsidR="005C1A1C" w:rsidRPr="00EA4611" w:rsidRDefault="00D659E8">
      <w:pPr>
        <w:pStyle w:val="Indholdsfortegnelse2"/>
        <w:rPr>
          <w:rFonts w:ascii="Arial" w:eastAsiaTheme="minorEastAsia" w:hAnsi="Arial" w:cs="Arial"/>
          <w:smallCaps w:val="0"/>
          <w:noProof/>
          <w:sz w:val="22"/>
          <w:szCs w:val="22"/>
          <w:lang w:eastAsia="da-DK"/>
        </w:rPr>
      </w:pPr>
      <w:hyperlink w:anchor="_Toc38356008" w:history="1">
        <w:r w:rsidR="005C1A1C" w:rsidRPr="00EA4611">
          <w:rPr>
            <w:rStyle w:val="Hyperlink"/>
            <w:rFonts w:ascii="Arial" w:hAnsi="Arial" w:cs="Arial"/>
            <w:noProof/>
            <w:sz w:val="22"/>
            <w:szCs w:val="22"/>
          </w:rPr>
          <w:t>4.2</w:t>
        </w:r>
        <w:r w:rsidR="005C1A1C" w:rsidRPr="00EA4611">
          <w:rPr>
            <w:rFonts w:ascii="Arial" w:eastAsiaTheme="minorEastAsia" w:hAnsi="Arial" w:cs="Arial"/>
            <w:smallCaps w:val="0"/>
            <w:noProof/>
            <w:sz w:val="22"/>
            <w:szCs w:val="22"/>
            <w:lang w:eastAsia="da-DK"/>
          </w:rPr>
          <w:tab/>
        </w:r>
        <w:r w:rsidR="005C1A1C" w:rsidRPr="00EA4611">
          <w:rPr>
            <w:rStyle w:val="Hyperlink"/>
            <w:rFonts w:ascii="Arial" w:hAnsi="Arial" w:cs="Arial"/>
            <w:noProof/>
            <w:sz w:val="22"/>
            <w:szCs w:val="22"/>
          </w:rPr>
          <w:t>Befolkningsfremskrivning for kommunens bydele</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_Toc38356008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19</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09" w:history="1">
        <w:r w:rsidR="005C1A1C" w:rsidRPr="00EA4611">
          <w:rPr>
            <w:rStyle w:val="Hyperlink"/>
            <w:rFonts w:ascii="Arial" w:hAnsi="Arial" w:cs="Arial"/>
            <w:noProof/>
            <w:sz w:val="22"/>
            <w:szCs w:val="22"/>
          </w:rPr>
          <w:t>4.2.1</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Befolkningsfordelingen mellem bydelene</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_Toc38356009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19</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10" w:history="1">
        <w:r w:rsidR="005C1A1C" w:rsidRPr="00EA4611">
          <w:rPr>
            <w:rStyle w:val="Hyperlink"/>
            <w:rFonts w:ascii="Arial" w:hAnsi="Arial" w:cs="Arial"/>
            <w:noProof/>
            <w:sz w:val="22"/>
            <w:szCs w:val="22"/>
          </w:rPr>
          <w:t>4.2.2</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Befolkningsfremskrivning for Brøndbyvester, Brøndbyøster og Brøndby Strand</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_Toc38356010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20</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11" w:history="1">
        <w:r w:rsidR="005C1A1C" w:rsidRPr="00EA4611">
          <w:rPr>
            <w:rStyle w:val="Hyperlink"/>
            <w:rFonts w:ascii="Arial" w:hAnsi="Arial" w:cs="Arial"/>
            <w:noProof/>
            <w:sz w:val="22"/>
            <w:szCs w:val="22"/>
          </w:rPr>
          <w:t>4.2.3</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Aldersfordelt befolkningsfremskrivning for Brøndbyøster</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_Toc38356011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22</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12" w:history="1">
        <w:r w:rsidR="005C1A1C" w:rsidRPr="00EA4611">
          <w:rPr>
            <w:rStyle w:val="Hyperlink"/>
            <w:rFonts w:ascii="Arial" w:hAnsi="Arial" w:cs="Arial"/>
            <w:noProof/>
            <w:sz w:val="22"/>
            <w:szCs w:val="22"/>
          </w:rPr>
          <w:t>4.2.4</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Aldersfordelt befolkningsfremskrivning for Brøndbyvester</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_Toc38356012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22</w:t>
        </w:r>
        <w:r w:rsidR="005C1A1C" w:rsidRPr="00EA4611">
          <w:rPr>
            <w:rFonts w:ascii="Arial" w:hAnsi="Arial" w:cs="Arial"/>
            <w:noProof/>
            <w:webHidden/>
            <w:sz w:val="22"/>
            <w:szCs w:val="22"/>
          </w:rPr>
          <w:fldChar w:fldCharType="end"/>
        </w:r>
      </w:hyperlink>
    </w:p>
    <w:p w:rsidR="005C1A1C" w:rsidRPr="00EA4611" w:rsidRDefault="00D659E8">
      <w:pPr>
        <w:pStyle w:val="Indholdsfortegnelse3"/>
        <w:tabs>
          <w:tab w:val="left" w:pos="1320"/>
          <w:tab w:val="right" w:leader="dot" w:pos="9629"/>
        </w:tabs>
        <w:rPr>
          <w:rFonts w:ascii="Arial" w:eastAsiaTheme="minorEastAsia" w:hAnsi="Arial" w:cs="Arial"/>
          <w:noProof/>
          <w:sz w:val="22"/>
          <w:szCs w:val="22"/>
          <w:lang w:eastAsia="da-DK"/>
        </w:rPr>
      </w:pPr>
      <w:hyperlink w:anchor="_Toc38356013" w:history="1">
        <w:r w:rsidR="005C1A1C" w:rsidRPr="00EA4611">
          <w:rPr>
            <w:rStyle w:val="Hyperlink"/>
            <w:rFonts w:ascii="Arial" w:hAnsi="Arial" w:cs="Arial"/>
            <w:noProof/>
            <w:sz w:val="22"/>
            <w:szCs w:val="22"/>
          </w:rPr>
          <w:t>4.2.5</w:t>
        </w:r>
        <w:r w:rsidR="005C1A1C" w:rsidRPr="00EA4611">
          <w:rPr>
            <w:rFonts w:ascii="Arial" w:eastAsiaTheme="minorEastAsia" w:hAnsi="Arial" w:cs="Arial"/>
            <w:noProof/>
            <w:sz w:val="22"/>
            <w:szCs w:val="22"/>
            <w:lang w:eastAsia="da-DK"/>
          </w:rPr>
          <w:tab/>
        </w:r>
        <w:r w:rsidR="005C1A1C" w:rsidRPr="00EA4611">
          <w:rPr>
            <w:rStyle w:val="Hyperlink"/>
            <w:rFonts w:ascii="Arial" w:hAnsi="Arial" w:cs="Arial"/>
            <w:noProof/>
            <w:sz w:val="22"/>
            <w:szCs w:val="22"/>
          </w:rPr>
          <w:t>Aldersfordelt befolkningsfremskrivning for Brøndby Strand</w:t>
        </w:r>
        <w:r w:rsidR="005C1A1C" w:rsidRPr="00EA4611">
          <w:rPr>
            <w:rFonts w:ascii="Arial" w:hAnsi="Arial" w:cs="Arial"/>
            <w:noProof/>
            <w:webHidden/>
            <w:sz w:val="22"/>
            <w:szCs w:val="22"/>
          </w:rPr>
          <w:tab/>
        </w:r>
        <w:r w:rsidR="005C1A1C" w:rsidRPr="00EA4611">
          <w:rPr>
            <w:rFonts w:ascii="Arial" w:hAnsi="Arial" w:cs="Arial"/>
            <w:noProof/>
            <w:webHidden/>
            <w:sz w:val="22"/>
            <w:szCs w:val="22"/>
          </w:rPr>
          <w:fldChar w:fldCharType="begin"/>
        </w:r>
        <w:r w:rsidR="005C1A1C" w:rsidRPr="00EA4611">
          <w:rPr>
            <w:rFonts w:ascii="Arial" w:hAnsi="Arial" w:cs="Arial"/>
            <w:noProof/>
            <w:webHidden/>
            <w:sz w:val="22"/>
            <w:szCs w:val="22"/>
          </w:rPr>
          <w:instrText xml:space="preserve"> PAGEREF _Toc38356013 \h </w:instrText>
        </w:r>
        <w:r w:rsidR="005C1A1C" w:rsidRPr="00EA4611">
          <w:rPr>
            <w:rFonts w:ascii="Arial" w:hAnsi="Arial" w:cs="Arial"/>
            <w:noProof/>
            <w:webHidden/>
            <w:sz w:val="22"/>
            <w:szCs w:val="22"/>
          </w:rPr>
        </w:r>
        <w:r w:rsidR="005C1A1C" w:rsidRPr="00EA4611">
          <w:rPr>
            <w:rFonts w:ascii="Arial" w:hAnsi="Arial" w:cs="Arial"/>
            <w:noProof/>
            <w:webHidden/>
            <w:sz w:val="22"/>
            <w:szCs w:val="22"/>
          </w:rPr>
          <w:fldChar w:fldCharType="separate"/>
        </w:r>
        <w:r w:rsidR="00136B67">
          <w:rPr>
            <w:rFonts w:ascii="Arial" w:hAnsi="Arial" w:cs="Arial"/>
            <w:noProof/>
            <w:webHidden/>
            <w:sz w:val="22"/>
            <w:szCs w:val="22"/>
          </w:rPr>
          <w:t>23</w:t>
        </w:r>
        <w:r w:rsidR="005C1A1C" w:rsidRPr="00EA4611">
          <w:rPr>
            <w:rFonts w:ascii="Arial" w:hAnsi="Arial" w:cs="Arial"/>
            <w:noProof/>
            <w:webHidden/>
            <w:sz w:val="22"/>
            <w:szCs w:val="22"/>
          </w:rPr>
          <w:fldChar w:fldCharType="end"/>
        </w:r>
      </w:hyperlink>
    </w:p>
    <w:p w:rsidR="005C1A1C" w:rsidRPr="005C1A1C" w:rsidRDefault="00D659E8">
      <w:pPr>
        <w:pStyle w:val="Indholdsfortegnelse1"/>
        <w:rPr>
          <w:rFonts w:ascii="Arial" w:eastAsiaTheme="minorEastAsia" w:hAnsi="Arial" w:cs="Arial"/>
          <w:b w:val="0"/>
          <w:smallCaps w:val="0"/>
          <w:color w:val="auto"/>
          <w:sz w:val="24"/>
          <w:szCs w:val="24"/>
          <w:lang w:eastAsia="da-DK"/>
        </w:rPr>
      </w:pPr>
      <w:hyperlink w:anchor="_Toc38356014" w:history="1">
        <w:r w:rsidR="005C1A1C" w:rsidRPr="00EA4611">
          <w:rPr>
            <w:rStyle w:val="Hyperlink"/>
            <w:rFonts w:ascii="Arial" w:hAnsi="Arial" w:cs="Arial"/>
            <w:sz w:val="22"/>
            <w:szCs w:val="22"/>
          </w:rPr>
          <w:t>5</w:t>
        </w:r>
        <w:r w:rsidR="005C1A1C" w:rsidRPr="00EA4611">
          <w:rPr>
            <w:rFonts w:ascii="Arial" w:eastAsiaTheme="minorEastAsia" w:hAnsi="Arial" w:cs="Arial"/>
            <w:b w:val="0"/>
            <w:smallCaps w:val="0"/>
            <w:color w:val="auto"/>
            <w:sz w:val="22"/>
            <w:szCs w:val="22"/>
            <w:lang w:eastAsia="da-DK"/>
          </w:rPr>
          <w:tab/>
        </w:r>
        <w:r w:rsidR="005C1A1C" w:rsidRPr="00EA4611">
          <w:rPr>
            <w:rStyle w:val="Hyperlink"/>
            <w:rFonts w:ascii="Arial" w:hAnsi="Arial" w:cs="Arial"/>
            <w:sz w:val="22"/>
            <w:szCs w:val="22"/>
          </w:rPr>
          <w:t>Præcision</w:t>
        </w:r>
        <w:r w:rsidR="005C1A1C" w:rsidRPr="00EA4611">
          <w:rPr>
            <w:rFonts w:ascii="Arial" w:hAnsi="Arial" w:cs="Arial"/>
            <w:webHidden/>
            <w:sz w:val="22"/>
            <w:szCs w:val="22"/>
          </w:rPr>
          <w:tab/>
        </w:r>
        <w:r w:rsidR="005C1A1C" w:rsidRPr="00EA4611">
          <w:rPr>
            <w:rFonts w:ascii="Arial" w:hAnsi="Arial" w:cs="Arial"/>
            <w:webHidden/>
            <w:sz w:val="22"/>
            <w:szCs w:val="22"/>
          </w:rPr>
          <w:fldChar w:fldCharType="begin"/>
        </w:r>
        <w:r w:rsidR="005C1A1C" w:rsidRPr="00EA4611">
          <w:rPr>
            <w:rFonts w:ascii="Arial" w:hAnsi="Arial" w:cs="Arial"/>
            <w:webHidden/>
            <w:sz w:val="22"/>
            <w:szCs w:val="22"/>
          </w:rPr>
          <w:instrText xml:space="preserve"> PAGEREF _Toc38356014 \h </w:instrText>
        </w:r>
        <w:r w:rsidR="005C1A1C" w:rsidRPr="00EA4611">
          <w:rPr>
            <w:rFonts w:ascii="Arial" w:hAnsi="Arial" w:cs="Arial"/>
            <w:webHidden/>
            <w:sz w:val="22"/>
            <w:szCs w:val="22"/>
          </w:rPr>
        </w:r>
        <w:r w:rsidR="005C1A1C" w:rsidRPr="00EA4611">
          <w:rPr>
            <w:rFonts w:ascii="Arial" w:hAnsi="Arial" w:cs="Arial"/>
            <w:webHidden/>
            <w:sz w:val="22"/>
            <w:szCs w:val="22"/>
          </w:rPr>
          <w:fldChar w:fldCharType="separate"/>
        </w:r>
        <w:r w:rsidR="00136B67">
          <w:rPr>
            <w:rFonts w:ascii="Arial" w:hAnsi="Arial" w:cs="Arial"/>
            <w:webHidden/>
            <w:sz w:val="22"/>
            <w:szCs w:val="22"/>
          </w:rPr>
          <w:t>24</w:t>
        </w:r>
        <w:r w:rsidR="005C1A1C" w:rsidRPr="00EA4611">
          <w:rPr>
            <w:rFonts w:ascii="Arial" w:hAnsi="Arial" w:cs="Arial"/>
            <w:webHidden/>
            <w:sz w:val="22"/>
            <w:szCs w:val="22"/>
          </w:rPr>
          <w:fldChar w:fldCharType="end"/>
        </w:r>
      </w:hyperlink>
    </w:p>
    <w:p w:rsidR="006D04C4" w:rsidRPr="00D30D29" w:rsidRDefault="0064569B" w:rsidP="006D04C4">
      <w:pPr>
        <w:pStyle w:val="Overskrift1"/>
        <w:rPr>
          <w:rFonts w:cstheme="minorHAnsi"/>
          <w:highlight w:val="yellow"/>
        </w:rPr>
      </w:pPr>
      <w:r w:rsidRPr="005C1A1C">
        <w:rPr>
          <w:rFonts w:eastAsia="Times New Roman" w:cs="Arial"/>
          <w:bCs w:val="0"/>
          <w:smallCaps/>
          <w:noProof/>
          <w:color w:val="auto"/>
          <w:sz w:val="24"/>
          <w:szCs w:val="24"/>
          <w:highlight w:val="yellow"/>
          <w:lang w:eastAsia="en-US"/>
        </w:rPr>
        <w:fldChar w:fldCharType="end"/>
      </w:r>
    </w:p>
    <w:p w:rsidR="006D04C4" w:rsidRPr="00D30D29" w:rsidRDefault="006D04C4" w:rsidP="006D04C4">
      <w:pPr>
        <w:pStyle w:val="Overskrift1"/>
        <w:keepLines w:val="0"/>
        <w:numPr>
          <w:ilvl w:val="0"/>
          <w:numId w:val="5"/>
        </w:numPr>
        <w:tabs>
          <w:tab w:val="num" w:pos="574"/>
        </w:tabs>
        <w:spacing w:before="240" w:after="60"/>
        <w:ind w:left="0" w:firstLine="0"/>
        <w:jc w:val="both"/>
      </w:pPr>
      <w:r w:rsidRPr="00D30D29">
        <w:rPr>
          <w:highlight w:val="yellow"/>
        </w:rPr>
        <w:br w:type="page"/>
      </w:r>
      <w:bookmarkStart w:id="2" w:name="_Toc38355989"/>
      <w:r w:rsidRPr="00D30D29">
        <w:lastRenderedPageBreak/>
        <w:t>Resume</w:t>
      </w:r>
      <w:bookmarkEnd w:id="2"/>
    </w:p>
    <w:p w:rsidR="006D04C4"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Brøndby Kommune har udarbejdet en prognose for befolkningsudviklingen i kommunen fordelt på alder og bydele i et ti-åri</w:t>
      </w:r>
      <w:r w:rsidR="006E1182">
        <w:rPr>
          <w:rFonts w:ascii="Arial" w:hAnsi="Arial" w:cs="Arial"/>
          <w:sz w:val="22"/>
          <w:szCs w:val="22"/>
          <w:lang w:eastAsia="en-US"/>
        </w:rPr>
        <w:t>gt perspektiv frem til primo 2030</w:t>
      </w:r>
      <w:r w:rsidRPr="00A9702C">
        <w:rPr>
          <w:rFonts w:ascii="Arial" w:hAnsi="Arial" w:cs="Arial"/>
          <w:sz w:val="22"/>
          <w:szCs w:val="22"/>
          <w:lang w:eastAsia="en-US"/>
        </w:rPr>
        <w:t>.</w:t>
      </w:r>
    </w:p>
    <w:p w:rsidR="0053481C" w:rsidRPr="00A9702C" w:rsidRDefault="0053481C" w:rsidP="006D04C4">
      <w:pPr>
        <w:pStyle w:val="Normal1"/>
        <w:rPr>
          <w:rFonts w:ascii="Arial" w:hAnsi="Arial" w:cs="Arial"/>
          <w:sz w:val="22"/>
          <w:szCs w:val="22"/>
          <w:lang w:eastAsia="en-US"/>
        </w:rPr>
      </w:pPr>
    </w:p>
    <w:p w:rsidR="006D04C4" w:rsidRDefault="0053481C" w:rsidP="006D04C4">
      <w:pPr>
        <w:pStyle w:val="Normal1"/>
        <w:rPr>
          <w:rFonts w:ascii="Arial" w:hAnsi="Arial" w:cs="Arial"/>
          <w:sz w:val="22"/>
          <w:szCs w:val="22"/>
          <w:lang w:eastAsia="en-US"/>
        </w:rPr>
      </w:pPr>
      <w:r w:rsidRPr="00CA34BC">
        <w:rPr>
          <w:rFonts w:ascii="Arial" w:hAnsi="Arial" w:cs="Arial"/>
          <w:sz w:val="22"/>
          <w:szCs w:val="22"/>
          <w:lang w:eastAsia="en-US"/>
        </w:rPr>
        <w:t>Befolkningsprognosen udarbejdes</w:t>
      </w:r>
      <w:r>
        <w:rPr>
          <w:rFonts w:ascii="Arial" w:hAnsi="Arial" w:cs="Arial"/>
          <w:sz w:val="22"/>
          <w:szCs w:val="22"/>
          <w:lang w:eastAsia="en-US"/>
        </w:rPr>
        <w:t>,</w:t>
      </w:r>
      <w:r w:rsidRPr="00CA34BC">
        <w:rPr>
          <w:rFonts w:ascii="Arial" w:hAnsi="Arial" w:cs="Arial"/>
          <w:sz w:val="22"/>
          <w:szCs w:val="22"/>
          <w:lang w:eastAsia="en-US"/>
        </w:rPr>
        <w:t xml:space="preserve"> fordi ændringer i befolkningens størrelse og sammensætning har stor betydning for kommunens budgetlægning, økonomi og fysiske planlægning. Det er vigtigt at huske på</w:t>
      </w:r>
      <w:r>
        <w:rPr>
          <w:rFonts w:ascii="Arial" w:hAnsi="Arial" w:cs="Arial"/>
          <w:sz w:val="22"/>
          <w:szCs w:val="22"/>
          <w:lang w:eastAsia="en-US"/>
        </w:rPr>
        <w:t>,</w:t>
      </w:r>
      <w:r w:rsidRPr="00CA34BC">
        <w:rPr>
          <w:rFonts w:ascii="Arial" w:hAnsi="Arial" w:cs="Arial"/>
          <w:sz w:val="22"/>
          <w:szCs w:val="22"/>
          <w:lang w:eastAsia="en-US"/>
        </w:rPr>
        <w:t xml:space="preserve"> at befolkningsprognosen er kommunens bedste </w:t>
      </w:r>
      <w:r w:rsidRPr="00EA7206">
        <w:rPr>
          <w:rFonts w:ascii="Arial" w:hAnsi="Arial" w:cs="Arial"/>
          <w:i/>
          <w:sz w:val="22"/>
          <w:szCs w:val="22"/>
          <w:lang w:eastAsia="en-US"/>
        </w:rPr>
        <w:t>skøn</w:t>
      </w:r>
      <w:r w:rsidRPr="00CA34BC">
        <w:rPr>
          <w:rFonts w:ascii="Arial" w:hAnsi="Arial" w:cs="Arial"/>
          <w:sz w:val="22"/>
          <w:szCs w:val="22"/>
          <w:lang w:eastAsia="en-US"/>
        </w:rPr>
        <w:t xml:space="preserve"> om den fremtidige udvikling på nuværende tidspunkt</w:t>
      </w:r>
      <w:r>
        <w:rPr>
          <w:rFonts w:ascii="Arial" w:hAnsi="Arial" w:cs="Arial"/>
          <w:sz w:val="22"/>
          <w:szCs w:val="22"/>
          <w:lang w:eastAsia="en-US"/>
        </w:rPr>
        <w:t>.</w:t>
      </w:r>
    </w:p>
    <w:p w:rsidR="0053481C" w:rsidRPr="00A9702C" w:rsidRDefault="0053481C" w:rsidP="006D04C4">
      <w:pPr>
        <w:pStyle w:val="Normal1"/>
        <w:rPr>
          <w:rFonts w:ascii="Arial" w:hAnsi="Arial" w:cs="Arial"/>
          <w:sz w:val="22"/>
          <w:szCs w:val="22"/>
          <w:lang w:eastAsia="en-US"/>
        </w:rPr>
      </w:pPr>
    </w:p>
    <w:p w:rsidR="00C268D6"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Befolkningsprognosen er udarbejdet med prognosemodellen DemoGrafix fra rådgivningsvirksomheden COWI.</w:t>
      </w:r>
      <w:r w:rsidR="00E61AA8" w:rsidRPr="00E61AA8">
        <w:rPr>
          <w:rFonts w:ascii="Arial" w:hAnsi="Arial" w:cs="Arial"/>
          <w:sz w:val="22"/>
          <w:szCs w:val="22"/>
          <w:lang w:eastAsia="en-US"/>
        </w:rPr>
        <w:t xml:space="preserve"> Læseren som ønsker et relativt hurtig</w:t>
      </w:r>
      <w:r w:rsidR="006E1182">
        <w:rPr>
          <w:rFonts w:ascii="Arial" w:hAnsi="Arial" w:cs="Arial"/>
          <w:sz w:val="22"/>
          <w:szCs w:val="22"/>
          <w:lang w:eastAsia="en-US"/>
        </w:rPr>
        <w:t>t overblik af udviklingen i 2019</w:t>
      </w:r>
      <w:r w:rsidR="00E61AA8" w:rsidRPr="00E61AA8">
        <w:rPr>
          <w:rFonts w:ascii="Arial" w:hAnsi="Arial" w:cs="Arial"/>
          <w:sz w:val="22"/>
          <w:szCs w:val="22"/>
          <w:lang w:eastAsia="en-US"/>
        </w:rPr>
        <w:t xml:space="preserve"> og</w:t>
      </w:r>
      <w:r w:rsidR="006E1182">
        <w:rPr>
          <w:rFonts w:ascii="Arial" w:hAnsi="Arial" w:cs="Arial"/>
          <w:sz w:val="22"/>
          <w:szCs w:val="22"/>
          <w:lang w:eastAsia="en-US"/>
        </w:rPr>
        <w:t xml:space="preserve"> hvordan det tegner sig fra 2020 til 2030</w:t>
      </w:r>
      <w:r w:rsidR="00C268D6">
        <w:rPr>
          <w:rFonts w:ascii="Arial" w:hAnsi="Arial" w:cs="Arial"/>
          <w:sz w:val="22"/>
          <w:szCs w:val="22"/>
          <w:lang w:eastAsia="en-US"/>
        </w:rPr>
        <w:t>,</w:t>
      </w:r>
      <w:r w:rsidR="00E61AA8" w:rsidRPr="00E61AA8">
        <w:rPr>
          <w:rFonts w:ascii="Arial" w:hAnsi="Arial" w:cs="Arial"/>
          <w:sz w:val="22"/>
          <w:szCs w:val="22"/>
          <w:lang w:eastAsia="en-US"/>
        </w:rPr>
        <w:t xml:space="preserve"> kan således ”nøjes” med den første del også kaldet </w:t>
      </w:r>
      <w:r w:rsidR="00C268D6">
        <w:rPr>
          <w:rFonts w:ascii="Arial" w:hAnsi="Arial" w:cs="Arial"/>
          <w:sz w:val="22"/>
          <w:szCs w:val="22"/>
          <w:lang w:eastAsia="en-US"/>
        </w:rPr>
        <w:t>”</w:t>
      </w:r>
      <w:r w:rsidR="00E61AA8" w:rsidRPr="00E61AA8">
        <w:rPr>
          <w:rFonts w:ascii="Arial" w:hAnsi="Arial" w:cs="Arial"/>
          <w:sz w:val="22"/>
          <w:szCs w:val="22"/>
          <w:lang w:eastAsia="en-US"/>
        </w:rPr>
        <w:t xml:space="preserve">hovedrapporten”. </w:t>
      </w:r>
    </w:p>
    <w:p w:rsidR="00C268D6" w:rsidRDefault="00C268D6" w:rsidP="006D04C4">
      <w:pPr>
        <w:pStyle w:val="Normal1"/>
        <w:rPr>
          <w:rFonts w:ascii="Arial" w:hAnsi="Arial" w:cs="Arial"/>
          <w:sz w:val="22"/>
          <w:szCs w:val="22"/>
          <w:lang w:eastAsia="en-US"/>
        </w:rPr>
      </w:pPr>
    </w:p>
    <w:p w:rsidR="008545C1" w:rsidRPr="00CA34BC" w:rsidRDefault="00E61AA8" w:rsidP="006D04C4">
      <w:pPr>
        <w:pStyle w:val="Normal1"/>
        <w:rPr>
          <w:rFonts w:ascii="Arial" w:hAnsi="Arial" w:cs="Arial"/>
          <w:sz w:val="22"/>
          <w:szCs w:val="22"/>
          <w:lang w:eastAsia="en-US"/>
        </w:rPr>
      </w:pPr>
      <w:r w:rsidRPr="00E61AA8">
        <w:rPr>
          <w:rFonts w:ascii="Arial" w:hAnsi="Arial" w:cs="Arial"/>
          <w:sz w:val="22"/>
          <w:szCs w:val="22"/>
          <w:lang w:eastAsia="en-US"/>
        </w:rPr>
        <w:t>Ønskes en nærlæsning af selve prognosemodellen og de parametre</w:t>
      </w:r>
      <w:r w:rsidR="009A6893">
        <w:rPr>
          <w:rFonts w:ascii="Arial" w:hAnsi="Arial" w:cs="Arial"/>
          <w:sz w:val="22"/>
          <w:szCs w:val="22"/>
          <w:lang w:eastAsia="en-US"/>
        </w:rPr>
        <w:t>,</w:t>
      </w:r>
      <w:r w:rsidRPr="00E61AA8">
        <w:rPr>
          <w:rFonts w:ascii="Arial" w:hAnsi="Arial" w:cs="Arial"/>
          <w:sz w:val="22"/>
          <w:szCs w:val="22"/>
          <w:lang w:eastAsia="en-US"/>
        </w:rPr>
        <w:t xml:space="preserve"> der er anvendt</w:t>
      </w:r>
      <w:r w:rsidR="009A6893">
        <w:rPr>
          <w:rFonts w:ascii="Arial" w:hAnsi="Arial" w:cs="Arial"/>
          <w:sz w:val="22"/>
          <w:szCs w:val="22"/>
          <w:lang w:eastAsia="en-US"/>
        </w:rPr>
        <w:t>,</w:t>
      </w:r>
      <w:r w:rsidRPr="00E61AA8">
        <w:rPr>
          <w:rFonts w:ascii="Arial" w:hAnsi="Arial" w:cs="Arial"/>
          <w:sz w:val="22"/>
          <w:szCs w:val="22"/>
          <w:lang w:eastAsia="en-US"/>
        </w:rPr>
        <w:t xml:space="preserve"> skal læseren også tage fat på den andel del. I denne anden del er der også vedlagt en oversigt over paramet</w:t>
      </w:r>
      <w:r w:rsidR="00C268D6">
        <w:rPr>
          <w:rFonts w:ascii="Arial" w:hAnsi="Arial" w:cs="Arial"/>
          <w:sz w:val="22"/>
          <w:szCs w:val="22"/>
          <w:lang w:eastAsia="en-US"/>
        </w:rPr>
        <w:t>reområderne. P</w:t>
      </w:r>
      <w:r w:rsidRPr="00E61AA8">
        <w:rPr>
          <w:rFonts w:ascii="Arial" w:hAnsi="Arial" w:cs="Arial"/>
          <w:sz w:val="22"/>
          <w:szCs w:val="22"/>
          <w:lang w:eastAsia="en-US"/>
        </w:rPr>
        <w:t>rognosetabellerne</w:t>
      </w:r>
      <w:r w:rsidR="00C268D6">
        <w:rPr>
          <w:rFonts w:ascii="Arial" w:hAnsi="Arial" w:cs="Arial"/>
          <w:sz w:val="22"/>
          <w:szCs w:val="22"/>
          <w:lang w:eastAsia="en-US"/>
        </w:rPr>
        <w:t xml:space="preserve"> kan findes på kommunens hjemmeside</w:t>
      </w:r>
      <w:r w:rsidRPr="00E61AA8">
        <w:rPr>
          <w:rFonts w:ascii="Arial" w:hAnsi="Arial" w:cs="Arial"/>
          <w:sz w:val="22"/>
          <w:szCs w:val="22"/>
          <w:lang w:eastAsia="en-US"/>
        </w:rPr>
        <w:t>.</w:t>
      </w:r>
      <w:r w:rsidR="008F6786" w:rsidRPr="00A9702C">
        <w:rPr>
          <w:rFonts w:ascii="Arial" w:hAnsi="Arial" w:cs="Arial"/>
          <w:sz w:val="22"/>
          <w:szCs w:val="22"/>
          <w:lang w:eastAsia="en-US"/>
        </w:rPr>
        <w:t xml:space="preserve"> I de næste afsnit beskrives de overordnede konklusioner for befolkningsprognosen.</w:t>
      </w:r>
    </w:p>
    <w:p w:rsidR="006D04C4" w:rsidRPr="00623CC1" w:rsidRDefault="006D04C4" w:rsidP="006D04C4">
      <w:pPr>
        <w:pStyle w:val="Overskrift2"/>
        <w:keepLines w:val="0"/>
        <w:numPr>
          <w:ilvl w:val="1"/>
          <w:numId w:val="5"/>
        </w:numPr>
        <w:spacing w:before="240" w:after="60"/>
        <w:jc w:val="both"/>
      </w:pPr>
      <w:bookmarkStart w:id="3" w:name="_Toc38355990"/>
      <w:r w:rsidRPr="00623CC1">
        <w:t>Overordnet udvikling</w:t>
      </w:r>
      <w:bookmarkEnd w:id="3"/>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Prognosen forventer en markant</w:t>
      </w:r>
      <w:r w:rsidR="00A64A02" w:rsidRPr="00A9702C">
        <w:rPr>
          <w:rFonts w:ascii="Arial" w:hAnsi="Arial" w:cs="Arial"/>
          <w:sz w:val="22"/>
          <w:szCs w:val="22"/>
          <w:lang w:eastAsia="en-US"/>
        </w:rPr>
        <w:t xml:space="preserve"> stigning i folketallet på </w:t>
      </w:r>
      <w:r w:rsidR="00C268D6">
        <w:rPr>
          <w:rFonts w:ascii="Arial" w:hAnsi="Arial" w:cs="Arial"/>
          <w:sz w:val="22"/>
          <w:szCs w:val="22"/>
          <w:lang w:eastAsia="en-US"/>
        </w:rPr>
        <w:t>11,6</w:t>
      </w:r>
      <w:r w:rsidRPr="00A9702C">
        <w:rPr>
          <w:rFonts w:ascii="Arial" w:hAnsi="Arial" w:cs="Arial"/>
          <w:sz w:val="22"/>
          <w:szCs w:val="22"/>
          <w:lang w:eastAsia="en-US"/>
        </w:rPr>
        <w:t xml:space="preserve"> pct. på et 10-årigt sigte. Stigningen skal </w:t>
      </w:r>
      <w:r w:rsidR="00A64A02" w:rsidRPr="00A9702C">
        <w:rPr>
          <w:rFonts w:ascii="Arial" w:hAnsi="Arial" w:cs="Arial"/>
          <w:sz w:val="22"/>
          <w:szCs w:val="22"/>
          <w:lang w:eastAsia="en-US"/>
        </w:rPr>
        <w:t xml:space="preserve">især </w:t>
      </w:r>
      <w:r w:rsidRPr="00A9702C">
        <w:rPr>
          <w:rFonts w:ascii="Arial" w:hAnsi="Arial" w:cs="Arial"/>
          <w:sz w:val="22"/>
          <w:szCs w:val="22"/>
          <w:lang w:eastAsia="en-US"/>
        </w:rPr>
        <w:t>ses i lyset af den forventede udvikling i byudviklingspr</w:t>
      </w:r>
      <w:r w:rsidR="001C7E03">
        <w:rPr>
          <w:rFonts w:ascii="Arial" w:hAnsi="Arial" w:cs="Arial"/>
          <w:sz w:val="22"/>
          <w:szCs w:val="22"/>
          <w:lang w:eastAsia="en-US"/>
        </w:rPr>
        <w:t>ojektet i Kirkebjerg med lidt mere end</w:t>
      </w:r>
      <w:r w:rsidRPr="00A9702C">
        <w:rPr>
          <w:rFonts w:ascii="Arial" w:hAnsi="Arial" w:cs="Arial"/>
          <w:sz w:val="22"/>
          <w:szCs w:val="22"/>
          <w:lang w:eastAsia="en-US"/>
        </w:rPr>
        <w:t xml:space="preserve"> </w:t>
      </w:r>
      <w:r w:rsidR="001C7E03" w:rsidRPr="001C7E03">
        <w:rPr>
          <w:rFonts w:ascii="Arial" w:hAnsi="Arial" w:cs="Arial"/>
          <w:sz w:val="22"/>
          <w:szCs w:val="22"/>
          <w:lang w:eastAsia="en-US"/>
        </w:rPr>
        <w:t>2.100</w:t>
      </w:r>
      <w:r w:rsidRPr="001C7E03">
        <w:rPr>
          <w:rFonts w:ascii="Arial" w:hAnsi="Arial" w:cs="Arial"/>
          <w:sz w:val="22"/>
          <w:szCs w:val="22"/>
          <w:lang w:eastAsia="en-US"/>
        </w:rPr>
        <w:t xml:space="preserve"> nye boli</w:t>
      </w:r>
      <w:r w:rsidR="00A64A02" w:rsidRPr="001C7E03">
        <w:rPr>
          <w:rFonts w:ascii="Arial" w:hAnsi="Arial" w:cs="Arial"/>
          <w:sz w:val="22"/>
          <w:szCs w:val="22"/>
          <w:lang w:eastAsia="en-US"/>
        </w:rPr>
        <w:t>ger frem mod 2025</w:t>
      </w:r>
      <w:r w:rsidRPr="001C7E03">
        <w:rPr>
          <w:rFonts w:ascii="Arial" w:hAnsi="Arial" w:cs="Arial"/>
          <w:sz w:val="22"/>
          <w:szCs w:val="22"/>
          <w:lang w:eastAsia="en-US"/>
        </w:rPr>
        <w:t>.</w:t>
      </w:r>
      <w:r w:rsidRPr="00A9702C">
        <w:rPr>
          <w:rFonts w:ascii="Arial" w:hAnsi="Arial" w:cs="Arial"/>
          <w:sz w:val="22"/>
          <w:szCs w:val="22"/>
          <w:lang w:eastAsia="en-US"/>
        </w:rPr>
        <w:t xml:space="preserve"> Det betyder også</w:t>
      </w:r>
      <w:r w:rsidR="009A6893">
        <w:rPr>
          <w:rFonts w:ascii="Arial" w:hAnsi="Arial" w:cs="Arial"/>
          <w:sz w:val="22"/>
          <w:szCs w:val="22"/>
          <w:lang w:eastAsia="en-US"/>
        </w:rPr>
        <w:t>,</w:t>
      </w:r>
      <w:r w:rsidRPr="00A9702C">
        <w:rPr>
          <w:rFonts w:ascii="Arial" w:hAnsi="Arial" w:cs="Arial"/>
          <w:sz w:val="22"/>
          <w:szCs w:val="22"/>
          <w:lang w:eastAsia="en-US"/>
        </w:rPr>
        <w:t xml:space="preserve"> at der for</w:t>
      </w:r>
      <w:r w:rsidR="006E1182">
        <w:rPr>
          <w:rFonts w:ascii="Arial" w:hAnsi="Arial" w:cs="Arial"/>
          <w:sz w:val="22"/>
          <w:szCs w:val="22"/>
          <w:lang w:eastAsia="en-US"/>
        </w:rPr>
        <w:t xml:space="preserve">ventes et befolkningstal på </w:t>
      </w:r>
      <w:r w:rsidR="00F2310A">
        <w:rPr>
          <w:rFonts w:ascii="Arial" w:hAnsi="Arial" w:cs="Arial"/>
          <w:sz w:val="22"/>
          <w:szCs w:val="22"/>
          <w:lang w:eastAsia="en-US"/>
        </w:rPr>
        <w:t>39.175</w:t>
      </w:r>
      <w:r w:rsidRPr="00A9702C">
        <w:rPr>
          <w:rFonts w:ascii="Arial" w:hAnsi="Arial" w:cs="Arial"/>
          <w:sz w:val="22"/>
          <w:szCs w:val="22"/>
          <w:lang w:eastAsia="en-US"/>
        </w:rPr>
        <w:t xml:space="preserve"> personer, n</w:t>
      </w:r>
      <w:r w:rsidR="006E1182">
        <w:rPr>
          <w:rFonts w:ascii="Arial" w:hAnsi="Arial" w:cs="Arial"/>
          <w:sz w:val="22"/>
          <w:szCs w:val="22"/>
          <w:lang w:eastAsia="en-US"/>
        </w:rPr>
        <w:t>år vi kommer til starten af 2030. Dette</w:t>
      </w:r>
      <w:r w:rsidRPr="00A9702C">
        <w:rPr>
          <w:rFonts w:ascii="Arial" w:hAnsi="Arial" w:cs="Arial"/>
          <w:sz w:val="22"/>
          <w:szCs w:val="22"/>
          <w:lang w:eastAsia="en-US"/>
        </w:rPr>
        <w:t xml:space="preserve"> er </w:t>
      </w:r>
      <w:r w:rsidR="00A64A02" w:rsidRPr="00A9702C">
        <w:rPr>
          <w:rFonts w:ascii="Arial" w:hAnsi="Arial" w:cs="Arial"/>
          <w:sz w:val="22"/>
          <w:szCs w:val="22"/>
          <w:lang w:eastAsia="en-US"/>
        </w:rPr>
        <w:t xml:space="preserve">på </w:t>
      </w:r>
      <w:r w:rsidR="006E1182">
        <w:rPr>
          <w:rFonts w:ascii="Arial" w:hAnsi="Arial" w:cs="Arial"/>
          <w:sz w:val="22"/>
          <w:szCs w:val="22"/>
          <w:lang w:eastAsia="en-US"/>
        </w:rPr>
        <w:t xml:space="preserve">omtrent </w:t>
      </w:r>
      <w:r w:rsidR="00A64A02" w:rsidRPr="00A9702C">
        <w:rPr>
          <w:rFonts w:ascii="Arial" w:hAnsi="Arial" w:cs="Arial"/>
          <w:sz w:val="22"/>
          <w:szCs w:val="22"/>
          <w:lang w:eastAsia="en-US"/>
        </w:rPr>
        <w:t>samme niveau som</w:t>
      </w:r>
      <w:r w:rsidRPr="00A9702C">
        <w:rPr>
          <w:rFonts w:ascii="Arial" w:hAnsi="Arial" w:cs="Arial"/>
          <w:sz w:val="22"/>
          <w:szCs w:val="22"/>
          <w:lang w:eastAsia="en-US"/>
        </w:rPr>
        <w:t xml:space="preserve"> prognosen fra sidste år. </w:t>
      </w:r>
    </w:p>
    <w:p w:rsidR="006D04C4" w:rsidRPr="00A9702C" w:rsidRDefault="006D04C4" w:rsidP="006D04C4">
      <w:pPr>
        <w:pStyle w:val="Normal1"/>
        <w:rPr>
          <w:rFonts w:ascii="Arial" w:hAnsi="Arial" w:cs="Arial"/>
          <w:sz w:val="22"/>
          <w:szCs w:val="22"/>
          <w:highlight w:val="yellow"/>
          <w:lang w:eastAsia="en-US"/>
        </w:rPr>
      </w:pPr>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 xml:space="preserve">Mere præcist så forventes befolkningstallet at være </w:t>
      </w:r>
      <w:r w:rsidR="00A64A02" w:rsidRPr="00A9702C">
        <w:rPr>
          <w:rFonts w:ascii="Arial" w:hAnsi="Arial" w:cs="Arial"/>
          <w:sz w:val="22"/>
          <w:szCs w:val="22"/>
          <w:lang w:eastAsia="en-US"/>
        </w:rPr>
        <w:t xml:space="preserve">støt </w:t>
      </w:r>
      <w:r w:rsidRPr="00A9702C">
        <w:rPr>
          <w:rFonts w:ascii="Arial" w:hAnsi="Arial" w:cs="Arial"/>
          <w:sz w:val="22"/>
          <w:szCs w:val="22"/>
          <w:lang w:eastAsia="en-US"/>
        </w:rPr>
        <w:t xml:space="preserve">stigende </w:t>
      </w:r>
      <w:r w:rsidR="006E1182">
        <w:rPr>
          <w:rFonts w:ascii="Arial" w:hAnsi="Arial" w:cs="Arial"/>
          <w:sz w:val="22"/>
          <w:szCs w:val="22"/>
          <w:lang w:eastAsia="en-US"/>
        </w:rPr>
        <w:t>i hele prognoseperioden 2020-2030</w:t>
      </w:r>
      <w:r w:rsidR="00A64A02" w:rsidRPr="00A9702C">
        <w:rPr>
          <w:rFonts w:ascii="Arial" w:hAnsi="Arial" w:cs="Arial"/>
          <w:sz w:val="22"/>
          <w:szCs w:val="22"/>
          <w:lang w:eastAsia="en-US"/>
        </w:rPr>
        <w:t>. Vi starte</w:t>
      </w:r>
      <w:r w:rsidR="00BB5DD2" w:rsidRPr="00A9702C">
        <w:rPr>
          <w:rFonts w:ascii="Arial" w:hAnsi="Arial" w:cs="Arial"/>
          <w:sz w:val="22"/>
          <w:szCs w:val="22"/>
          <w:lang w:eastAsia="en-US"/>
        </w:rPr>
        <w:t xml:space="preserve">r </w:t>
      </w:r>
      <w:r w:rsidR="006E1182">
        <w:rPr>
          <w:rFonts w:ascii="Arial" w:hAnsi="Arial" w:cs="Arial"/>
          <w:sz w:val="22"/>
          <w:szCs w:val="22"/>
          <w:lang w:eastAsia="en-US"/>
        </w:rPr>
        <w:t>2020 med at være 35.094</w:t>
      </w:r>
      <w:r w:rsidR="00CF34DF">
        <w:rPr>
          <w:rFonts w:ascii="Arial" w:hAnsi="Arial" w:cs="Arial"/>
          <w:sz w:val="22"/>
          <w:szCs w:val="22"/>
          <w:lang w:eastAsia="en-US"/>
        </w:rPr>
        <w:t xml:space="preserve"> personer (det vi sluttede med i 2019)</w:t>
      </w:r>
      <w:r w:rsidR="00BD13FE">
        <w:rPr>
          <w:rFonts w:ascii="Arial" w:hAnsi="Arial" w:cs="Arial"/>
          <w:sz w:val="22"/>
          <w:szCs w:val="22"/>
          <w:lang w:eastAsia="en-US"/>
        </w:rPr>
        <w:t xml:space="preserve"> </w:t>
      </w:r>
      <w:r w:rsidR="006E1182">
        <w:rPr>
          <w:rFonts w:ascii="Arial" w:hAnsi="Arial" w:cs="Arial"/>
          <w:sz w:val="22"/>
          <w:szCs w:val="22"/>
          <w:lang w:eastAsia="en-US"/>
        </w:rPr>
        <w:t xml:space="preserve">og forventes at stige til 39.175 personer </w:t>
      </w:r>
      <w:r w:rsidR="00C268D6">
        <w:rPr>
          <w:rFonts w:ascii="Arial" w:hAnsi="Arial" w:cs="Arial"/>
          <w:sz w:val="22"/>
          <w:szCs w:val="22"/>
          <w:lang w:eastAsia="en-US"/>
        </w:rPr>
        <w:t>ved årets start i</w:t>
      </w:r>
      <w:r w:rsidR="006E1182">
        <w:rPr>
          <w:rFonts w:ascii="Arial" w:hAnsi="Arial" w:cs="Arial"/>
          <w:sz w:val="22"/>
          <w:szCs w:val="22"/>
          <w:lang w:eastAsia="en-US"/>
        </w:rPr>
        <w:t xml:space="preserve"> 2030</w:t>
      </w:r>
      <w:r w:rsidR="00BB5DD2" w:rsidRPr="00A9702C">
        <w:rPr>
          <w:rFonts w:ascii="Arial" w:hAnsi="Arial" w:cs="Arial"/>
          <w:sz w:val="22"/>
          <w:szCs w:val="22"/>
          <w:lang w:eastAsia="en-US"/>
        </w:rPr>
        <w:t>.</w:t>
      </w:r>
      <w:r w:rsidR="00A64A02" w:rsidRPr="00A9702C">
        <w:rPr>
          <w:rFonts w:ascii="Arial" w:hAnsi="Arial" w:cs="Arial"/>
          <w:sz w:val="22"/>
          <w:szCs w:val="22"/>
          <w:lang w:eastAsia="en-US"/>
        </w:rPr>
        <w:t xml:space="preserve"> </w:t>
      </w:r>
      <w:r w:rsidRPr="00A9702C">
        <w:rPr>
          <w:rFonts w:ascii="Arial" w:hAnsi="Arial" w:cs="Arial"/>
          <w:sz w:val="22"/>
          <w:szCs w:val="22"/>
          <w:lang w:eastAsia="en-US"/>
        </w:rPr>
        <w:t>Udviklingen svarer til</w:t>
      </w:r>
      <w:r w:rsidR="009A6893">
        <w:rPr>
          <w:rFonts w:ascii="Arial" w:hAnsi="Arial" w:cs="Arial"/>
          <w:sz w:val="22"/>
          <w:szCs w:val="22"/>
          <w:lang w:eastAsia="en-US"/>
        </w:rPr>
        <w:t>,</w:t>
      </w:r>
      <w:r w:rsidRPr="00A9702C">
        <w:rPr>
          <w:rFonts w:ascii="Arial" w:hAnsi="Arial" w:cs="Arial"/>
          <w:sz w:val="22"/>
          <w:szCs w:val="22"/>
          <w:lang w:eastAsia="en-US"/>
        </w:rPr>
        <w:t xml:space="preserve"> at der </w:t>
      </w:r>
      <w:r w:rsidR="00BD13FE">
        <w:rPr>
          <w:rFonts w:ascii="Arial" w:hAnsi="Arial" w:cs="Arial"/>
          <w:sz w:val="22"/>
          <w:szCs w:val="22"/>
          <w:lang w:eastAsia="en-US"/>
        </w:rPr>
        <w:t>i denne periode,</w:t>
      </w:r>
      <w:r w:rsidR="00BB5DD2" w:rsidRPr="00A9702C">
        <w:rPr>
          <w:rFonts w:ascii="Arial" w:hAnsi="Arial" w:cs="Arial"/>
          <w:sz w:val="22"/>
          <w:szCs w:val="22"/>
          <w:lang w:eastAsia="en-US"/>
        </w:rPr>
        <w:t xml:space="preserve"> ifølge prognosen</w:t>
      </w:r>
      <w:r w:rsidR="00BD13FE">
        <w:rPr>
          <w:rFonts w:ascii="Arial" w:hAnsi="Arial" w:cs="Arial"/>
          <w:sz w:val="22"/>
          <w:szCs w:val="22"/>
          <w:lang w:eastAsia="en-US"/>
        </w:rPr>
        <w:t>,</w:t>
      </w:r>
      <w:r w:rsidR="00C268D6">
        <w:rPr>
          <w:rFonts w:ascii="Arial" w:hAnsi="Arial" w:cs="Arial"/>
          <w:sz w:val="22"/>
          <w:szCs w:val="22"/>
          <w:lang w:eastAsia="en-US"/>
        </w:rPr>
        <w:t xml:space="preserve"> vil komme</w:t>
      </w:r>
      <w:r w:rsidR="00CF34DF">
        <w:rPr>
          <w:rFonts w:ascii="Arial" w:hAnsi="Arial" w:cs="Arial"/>
          <w:sz w:val="22"/>
          <w:szCs w:val="22"/>
          <w:lang w:eastAsia="en-US"/>
        </w:rPr>
        <w:t xml:space="preserve"> 4.081</w:t>
      </w:r>
      <w:r w:rsidRPr="00A9702C">
        <w:rPr>
          <w:rFonts w:ascii="Arial" w:hAnsi="Arial" w:cs="Arial"/>
          <w:sz w:val="22"/>
          <w:szCs w:val="22"/>
          <w:lang w:eastAsia="en-US"/>
        </w:rPr>
        <w:t xml:space="preserve"> flere indbyggere til Brøndby Kommune.</w:t>
      </w:r>
    </w:p>
    <w:p w:rsidR="006D04C4" w:rsidRPr="00D30D29" w:rsidRDefault="006D04C4" w:rsidP="006D04C4">
      <w:pPr>
        <w:pStyle w:val="Normal1"/>
        <w:rPr>
          <w:highlight w:val="yellow"/>
          <w:lang w:eastAsia="en-US"/>
        </w:rPr>
      </w:pPr>
      <w:r w:rsidRPr="00D30D29">
        <w:rPr>
          <w:highlight w:val="yellow"/>
          <w:lang w:eastAsia="en-US"/>
        </w:rPr>
        <w:t xml:space="preserve"> </w:t>
      </w:r>
    </w:p>
    <w:p w:rsidR="006D04C4" w:rsidRPr="004A03EE" w:rsidRDefault="006D04C4" w:rsidP="006D04C4">
      <w:pPr>
        <w:pStyle w:val="Billedtekst"/>
        <w:rPr>
          <w:rFonts w:ascii="Arial" w:hAnsi="Arial" w:cs="Arial"/>
        </w:rPr>
      </w:pPr>
      <w:r w:rsidRPr="00A14F52">
        <w:rPr>
          <w:rFonts w:ascii="Arial" w:hAnsi="Arial" w:cs="Arial"/>
          <w:b/>
        </w:rPr>
        <w:t xml:space="preserve">Figur </w:t>
      </w:r>
      <w:r w:rsidRPr="00A14F52">
        <w:rPr>
          <w:rFonts w:ascii="Arial" w:hAnsi="Arial" w:cs="Arial"/>
          <w:b/>
        </w:rPr>
        <w:fldChar w:fldCharType="begin"/>
      </w:r>
      <w:r w:rsidRPr="00A14F52">
        <w:rPr>
          <w:rFonts w:ascii="Arial" w:hAnsi="Arial" w:cs="Arial"/>
          <w:b/>
        </w:rPr>
        <w:instrText xml:space="preserve"> SEQ Figur \* ARABIC </w:instrText>
      </w:r>
      <w:r w:rsidRPr="00A14F52">
        <w:rPr>
          <w:rFonts w:ascii="Arial" w:hAnsi="Arial" w:cs="Arial"/>
          <w:b/>
        </w:rPr>
        <w:fldChar w:fldCharType="separate"/>
      </w:r>
      <w:r w:rsidR="00313F67" w:rsidRPr="00A14F52">
        <w:rPr>
          <w:rFonts w:ascii="Arial" w:hAnsi="Arial" w:cs="Arial"/>
          <w:b/>
          <w:noProof/>
        </w:rPr>
        <w:t>1</w:t>
      </w:r>
      <w:r w:rsidRPr="00A14F52">
        <w:rPr>
          <w:rFonts w:ascii="Arial" w:hAnsi="Arial" w:cs="Arial"/>
          <w:b/>
        </w:rPr>
        <w:fldChar w:fldCharType="end"/>
      </w:r>
      <w:r w:rsidRPr="00A14F52">
        <w:rPr>
          <w:rFonts w:ascii="Arial" w:hAnsi="Arial" w:cs="Arial"/>
          <w:b/>
        </w:rPr>
        <w:t>.</w:t>
      </w:r>
      <w:r w:rsidRPr="004A03EE">
        <w:rPr>
          <w:rFonts w:ascii="Arial" w:hAnsi="Arial" w:cs="Arial"/>
        </w:rPr>
        <w:t xml:space="preserve"> Befolkningsudviklingen i Br</w:t>
      </w:r>
      <w:r w:rsidR="002C2F6B" w:rsidRPr="004A03EE">
        <w:rPr>
          <w:rFonts w:ascii="Arial" w:hAnsi="Arial" w:cs="Arial"/>
        </w:rPr>
        <w:t>øndby Kommune</w:t>
      </w:r>
      <w:r w:rsidR="00A23856">
        <w:rPr>
          <w:rFonts w:ascii="Arial" w:hAnsi="Arial" w:cs="Arial"/>
        </w:rPr>
        <w:t xml:space="preserve"> historisk fra 1980</w:t>
      </w:r>
      <w:r w:rsidR="00B87CDB">
        <w:rPr>
          <w:rFonts w:ascii="Arial" w:hAnsi="Arial" w:cs="Arial"/>
        </w:rPr>
        <w:t>-2019 og prognose for 2020-2030</w:t>
      </w:r>
      <w:r w:rsidRPr="004A03EE">
        <w:rPr>
          <w:rFonts w:ascii="Arial" w:hAnsi="Arial" w:cs="Arial"/>
        </w:rPr>
        <w:t>.</w:t>
      </w:r>
      <w:r w:rsidR="002A4ACD">
        <w:rPr>
          <w:rFonts w:ascii="Arial" w:hAnsi="Arial" w:cs="Arial"/>
        </w:rPr>
        <w:t xml:space="preserve"> </w:t>
      </w:r>
    </w:p>
    <w:p w:rsidR="006D04C4" w:rsidRDefault="00D659E8" w:rsidP="006D04C4">
      <w:pPr>
        <w:pStyle w:val="Normal1"/>
        <w:rPr>
          <w:noProof/>
        </w:rPr>
      </w:pPr>
      <w:r>
        <w:rPr>
          <w:noProof/>
        </w:rPr>
        <w:pict>
          <v:rect id="_x0000_i1025" style="width:0;height:1.5pt" o:hralign="center" o:hrstd="t" o:hr="t" fillcolor="#a0a0a0" stroked="f"/>
        </w:pict>
      </w:r>
    </w:p>
    <w:p w:rsidR="006D04C4" w:rsidRPr="00D30D29" w:rsidRDefault="00A23856" w:rsidP="006D04C4">
      <w:pPr>
        <w:pStyle w:val="Normal1"/>
        <w:rPr>
          <w:noProof/>
          <w:highlight w:val="yellow"/>
        </w:rPr>
      </w:pPr>
      <w:r>
        <w:rPr>
          <w:noProof/>
        </w:rPr>
        <w:lastRenderedPageBreak/>
        <w:drawing>
          <wp:inline distT="0" distB="0" distL="0" distR="0" wp14:anchorId="58C53D8B" wp14:editId="3C179833">
            <wp:extent cx="6120765" cy="3060700"/>
            <wp:effectExtent l="0" t="0" r="0" b="635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D04C4" w:rsidRPr="00E649C7" w:rsidRDefault="006D04C4" w:rsidP="006D04C4">
      <w:pPr>
        <w:pStyle w:val="Normal1"/>
        <w:rPr>
          <w:rFonts w:asciiTheme="minorHAnsi" w:hAnsiTheme="minorHAnsi" w:cstheme="minorHAnsi"/>
          <w:noProof/>
          <w:sz w:val="16"/>
          <w:szCs w:val="16"/>
        </w:rPr>
      </w:pPr>
      <w:r w:rsidRPr="00E649C7">
        <w:rPr>
          <w:rFonts w:asciiTheme="minorHAnsi" w:hAnsiTheme="minorHAnsi" w:cstheme="minorHAnsi"/>
          <w:noProof/>
          <w:sz w:val="16"/>
          <w:szCs w:val="16"/>
        </w:rPr>
        <w:t>Kilde: Danmarks Statistik, BEV107, FOLK1 m.fl. og DemoGrafix.</w:t>
      </w:r>
    </w:p>
    <w:p w:rsidR="006D04C4" w:rsidRPr="00E649C7" w:rsidRDefault="006D04C4" w:rsidP="006D04C4">
      <w:pPr>
        <w:pStyle w:val="Normal1"/>
        <w:rPr>
          <w:rFonts w:asciiTheme="minorHAnsi" w:hAnsiTheme="minorHAnsi" w:cstheme="minorHAnsi"/>
          <w:noProof/>
          <w:sz w:val="16"/>
          <w:szCs w:val="16"/>
        </w:rPr>
      </w:pPr>
      <w:r w:rsidRPr="00E649C7">
        <w:rPr>
          <w:rFonts w:asciiTheme="minorHAnsi" w:hAnsiTheme="minorHAnsi" w:cstheme="minorHAnsi"/>
          <w:noProof/>
          <w:sz w:val="16"/>
          <w:szCs w:val="16"/>
        </w:rPr>
        <w:t>Note: Kurven har et ikke ubetydeligt ”knæk” mellem 1995 og 1996. Stigningen var på 809 personer – fra 33.579 til 34.388 – svarende til 2,4 pct. Mange af de nye borgere i kommunen var bosniske flygtninge, som hovedsageligt blev indhuset i Brøndby Strand.</w:t>
      </w:r>
    </w:p>
    <w:p w:rsidR="006D04C4" w:rsidRPr="00D30D29" w:rsidRDefault="006D04C4" w:rsidP="006D04C4">
      <w:pPr>
        <w:pStyle w:val="Normal1"/>
        <w:rPr>
          <w:rFonts w:asciiTheme="minorHAnsi" w:hAnsiTheme="minorHAnsi" w:cstheme="minorHAnsi"/>
          <w:noProof/>
          <w:sz w:val="18"/>
          <w:szCs w:val="18"/>
          <w:highlight w:val="yellow"/>
        </w:rPr>
      </w:pPr>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F</w:t>
      </w:r>
      <w:r w:rsidR="00F2310A">
        <w:rPr>
          <w:rFonts w:ascii="Arial" w:hAnsi="Arial" w:cs="Arial"/>
          <w:sz w:val="22"/>
          <w:szCs w:val="22"/>
          <w:lang w:eastAsia="en-US"/>
        </w:rPr>
        <w:t>rem mod 2030</w:t>
      </w:r>
      <w:r w:rsidRPr="00A9702C">
        <w:rPr>
          <w:rFonts w:ascii="Arial" w:hAnsi="Arial" w:cs="Arial"/>
          <w:sz w:val="22"/>
          <w:szCs w:val="22"/>
          <w:lang w:eastAsia="en-US"/>
        </w:rPr>
        <w:t xml:space="preserve"> forventes betydelige forskydninger i befolkningens alderssammensætning, hvor der i de opdelte aldersgrupper er stigninger over hele linjen. </w:t>
      </w:r>
    </w:p>
    <w:p w:rsidR="00EE09CB" w:rsidRPr="00A9702C" w:rsidRDefault="00EE09CB" w:rsidP="006D04C4">
      <w:pPr>
        <w:pStyle w:val="Normal1"/>
        <w:rPr>
          <w:rFonts w:ascii="Arial" w:hAnsi="Arial" w:cs="Arial"/>
          <w:sz w:val="22"/>
          <w:szCs w:val="22"/>
          <w:lang w:eastAsia="en-US"/>
        </w:rPr>
      </w:pPr>
    </w:p>
    <w:p w:rsidR="008F6786" w:rsidRPr="00A9702C" w:rsidRDefault="00785266" w:rsidP="006D04C4">
      <w:pPr>
        <w:pStyle w:val="Normal1"/>
        <w:rPr>
          <w:rFonts w:ascii="Arial" w:hAnsi="Arial" w:cs="Arial"/>
          <w:sz w:val="22"/>
          <w:szCs w:val="22"/>
          <w:lang w:eastAsia="en-US"/>
        </w:rPr>
      </w:pPr>
      <w:r w:rsidRPr="00A9702C">
        <w:rPr>
          <w:rFonts w:ascii="Arial" w:hAnsi="Arial" w:cs="Arial"/>
          <w:sz w:val="22"/>
          <w:szCs w:val="22"/>
          <w:lang w:eastAsia="en-US"/>
        </w:rPr>
        <w:t>I</w:t>
      </w:r>
      <w:r w:rsidR="00626207" w:rsidRPr="00A9702C">
        <w:rPr>
          <w:rFonts w:ascii="Arial" w:hAnsi="Arial" w:cs="Arial"/>
          <w:sz w:val="22"/>
          <w:szCs w:val="22"/>
          <w:lang w:eastAsia="en-US"/>
        </w:rPr>
        <w:t xml:space="preserve"> overskrifts</w:t>
      </w:r>
      <w:r w:rsidRPr="00A9702C">
        <w:rPr>
          <w:rFonts w:ascii="Arial" w:hAnsi="Arial" w:cs="Arial"/>
          <w:sz w:val="22"/>
          <w:szCs w:val="22"/>
          <w:lang w:eastAsia="en-US"/>
        </w:rPr>
        <w:t>form ser det således ud:</w:t>
      </w:r>
    </w:p>
    <w:p w:rsidR="002C2F6B" w:rsidRPr="00A9702C" w:rsidRDefault="002C2F6B" w:rsidP="006D04C4">
      <w:pPr>
        <w:pStyle w:val="Normal1"/>
        <w:rPr>
          <w:rFonts w:ascii="Arial" w:hAnsi="Arial" w:cs="Arial"/>
          <w:sz w:val="22"/>
          <w:szCs w:val="22"/>
          <w:lang w:eastAsia="en-US"/>
        </w:rPr>
      </w:pPr>
    </w:p>
    <w:p w:rsidR="002C2F6B" w:rsidRPr="00604D52" w:rsidRDefault="00785266" w:rsidP="00A9702C">
      <w:pPr>
        <w:pStyle w:val="Normal1"/>
        <w:numPr>
          <w:ilvl w:val="0"/>
          <w:numId w:val="49"/>
        </w:numPr>
        <w:rPr>
          <w:rFonts w:ascii="Arial" w:hAnsi="Arial" w:cs="Arial"/>
          <w:sz w:val="22"/>
          <w:szCs w:val="22"/>
          <w:lang w:eastAsia="en-US"/>
        </w:rPr>
      </w:pPr>
      <w:r w:rsidRPr="00604D52">
        <w:rPr>
          <w:rFonts w:ascii="Arial" w:hAnsi="Arial" w:cs="Arial"/>
          <w:sz w:val="22"/>
          <w:szCs w:val="22"/>
          <w:lang w:eastAsia="en-US"/>
        </w:rPr>
        <w:t xml:space="preserve">antallet af </w:t>
      </w:r>
      <w:r w:rsidR="002C2F6B" w:rsidRPr="00604D52">
        <w:rPr>
          <w:rFonts w:ascii="Arial" w:hAnsi="Arial" w:cs="Arial"/>
          <w:sz w:val="22"/>
          <w:szCs w:val="22"/>
          <w:lang w:eastAsia="en-US"/>
        </w:rPr>
        <w:t xml:space="preserve">småbørn (0-5 år) forventes at være steget med </w:t>
      </w:r>
      <w:r w:rsidR="00604D52" w:rsidRPr="00604D52">
        <w:rPr>
          <w:rFonts w:ascii="Arial" w:hAnsi="Arial" w:cs="Arial"/>
          <w:sz w:val="22"/>
          <w:szCs w:val="22"/>
          <w:lang w:eastAsia="en-US"/>
        </w:rPr>
        <w:t>19,2</w:t>
      </w:r>
      <w:r w:rsidR="002C2F6B" w:rsidRPr="00604D52">
        <w:rPr>
          <w:rFonts w:ascii="Arial" w:hAnsi="Arial" w:cs="Arial"/>
          <w:sz w:val="22"/>
          <w:szCs w:val="22"/>
          <w:lang w:eastAsia="en-US"/>
        </w:rPr>
        <w:t xml:space="preserve"> pct.</w:t>
      </w:r>
    </w:p>
    <w:p w:rsidR="002C2F6B" w:rsidRPr="00604D52" w:rsidRDefault="002C2F6B" w:rsidP="00A9702C">
      <w:pPr>
        <w:pStyle w:val="Normal1"/>
        <w:numPr>
          <w:ilvl w:val="0"/>
          <w:numId w:val="49"/>
        </w:numPr>
        <w:rPr>
          <w:rFonts w:ascii="Arial" w:hAnsi="Arial" w:cs="Arial"/>
          <w:sz w:val="22"/>
          <w:szCs w:val="22"/>
          <w:lang w:eastAsia="en-US"/>
        </w:rPr>
      </w:pPr>
      <w:r w:rsidRPr="00604D52">
        <w:rPr>
          <w:rFonts w:ascii="Arial" w:hAnsi="Arial" w:cs="Arial"/>
          <w:sz w:val="22"/>
          <w:szCs w:val="22"/>
          <w:lang w:eastAsia="en-US"/>
        </w:rPr>
        <w:t xml:space="preserve">antallet af skolebørn (6-16 år) </w:t>
      </w:r>
      <w:r w:rsidR="009A6893" w:rsidRPr="00604D52">
        <w:rPr>
          <w:rFonts w:ascii="Arial" w:hAnsi="Arial" w:cs="Arial"/>
          <w:sz w:val="22"/>
          <w:szCs w:val="22"/>
          <w:lang w:eastAsia="en-US"/>
        </w:rPr>
        <w:t>forventes at være steget</w:t>
      </w:r>
      <w:r w:rsidR="00785266" w:rsidRPr="00604D52">
        <w:rPr>
          <w:rFonts w:ascii="Arial" w:hAnsi="Arial" w:cs="Arial"/>
          <w:sz w:val="22"/>
          <w:szCs w:val="22"/>
          <w:lang w:eastAsia="en-US"/>
        </w:rPr>
        <w:t xml:space="preserve"> </w:t>
      </w:r>
      <w:r w:rsidR="009A6893" w:rsidRPr="00604D52">
        <w:rPr>
          <w:rFonts w:ascii="Arial" w:hAnsi="Arial" w:cs="Arial"/>
          <w:sz w:val="22"/>
          <w:szCs w:val="22"/>
          <w:lang w:eastAsia="en-US"/>
        </w:rPr>
        <w:t>med</w:t>
      </w:r>
      <w:r w:rsidR="00604D52" w:rsidRPr="00604D52">
        <w:rPr>
          <w:rFonts w:ascii="Arial" w:hAnsi="Arial" w:cs="Arial"/>
          <w:sz w:val="22"/>
          <w:szCs w:val="22"/>
          <w:lang w:eastAsia="en-US"/>
        </w:rPr>
        <w:t xml:space="preserve"> 15,0</w:t>
      </w:r>
      <w:r w:rsidRPr="00604D52">
        <w:rPr>
          <w:rFonts w:ascii="Arial" w:hAnsi="Arial" w:cs="Arial"/>
          <w:sz w:val="22"/>
          <w:szCs w:val="22"/>
          <w:lang w:eastAsia="en-US"/>
        </w:rPr>
        <w:t xml:space="preserve"> pct.</w:t>
      </w:r>
    </w:p>
    <w:p w:rsidR="002C2F6B" w:rsidRPr="00604D52" w:rsidRDefault="00785266" w:rsidP="00A9702C">
      <w:pPr>
        <w:pStyle w:val="Normal1"/>
        <w:numPr>
          <w:ilvl w:val="0"/>
          <w:numId w:val="49"/>
        </w:numPr>
        <w:rPr>
          <w:rFonts w:ascii="Arial" w:hAnsi="Arial" w:cs="Arial"/>
          <w:sz w:val="22"/>
          <w:szCs w:val="22"/>
          <w:lang w:eastAsia="en-US"/>
        </w:rPr>
      </w:pPr>
      <w:r w:rsidRPr="00604D52">
        <w:rPr>
          <w:rFonts w:ascii="Arial" w:hAnsi="Arial" w:cs="Arial"/>
          <w:sz w:val="22"/>
          <w:szCs w:val="22"/>
          <w:lang w:eastAsia="en-US"/>
        </w:rPr>
        <w:t>de</w:t>
      </w:r>
      <w:r w:rsidR="002C2F6B" w:rsidRPr="00604D52">
        <w:rPr>
          <w:rFonts w:ascii="Arial" w:hAnsi="Arial" w:cs="Arial"/>
          <w:sz w:val="22"/>
          <w:szCs w:val="22"/>
          <w:lang w:eastAsia="en-US"/>
        </w:rPr>
        <w:t xml:space="preserve"> erhvervsaktive (17-66 år) </w:t>
      </w:r>
      <w:r w:rsidR="001E2D79" w:rsidRPr="00604D52">
        <w:rPr>
          <w:rFonts w:ascii="Arial" w:hAnsi="Arial" w:cs="Arial"/>
          <w:sz w:val="22"/>
          <w:szCs w:val="22"/>
          <w:lang w:eastAsia="en-US"/>
        </w:rPr>
        <w:t xml:space="preserve">stiger med </w:t>
      </w:r>
      <w:r w:rsidR="00604D52" w:rsidRPr="00604D52">
        <w:rPr>
          <w:rFonts w:ascii="Arial" w:hAnsi="Arial" w:cs="Arial"/>
          <w:sz w:val="22"/>
          <w:szCs w:val="22"/>
          <w:lang w:eastAsia="en-US"/>
        </w:rPr>
        <w:t>9,3</w:t>
      </w:r>
      <w:r w:rsidR="002C2F6B" w:rsidRPr="00604D52">
        <w:rPr>
          <w:rFonts w:ascii="Arial" w:hAnsi="Arial" w:cs="Arial"/>
          <w:sz w:val="22"/>
          <w:szCs w:val="22"/>
          <w:lang w:eastAsia="en-US"/>
        </w:rPr>
        <w:t xml:space="preserve"> pct., </w:t>
      </w:r>
    </w:p>
    <w:p w:rsidR="002C2F6B" w:rsidRPr="00604D52" w:rsidRDefault="00785266" w:rsidP="00A9702C">
      <w:pPr>
        <w:pStyle w:val="Normal1"/>
        <w:numPr>
          <w:ilvl w:val="0"/>
          <w:numId w:val="49"/>
        </w:numPr>
        <w:rPr>
          <w:rFonts w:ascii="Arial" w:hAnsi="Arial" w:cs="Arial"/>
          <w:sz w:val="22"/>
          <w:szCs w:val="22"/>
          <w:lang w:eastAsia="en-US"/>
        </w:rPr>
      </w:pPr>
      <w:r w:rsidRPr="00604D52">
        <w:rPr>
          <w:rFonts w:ascii="Arial" w:hAnsi="Arial" w:cs="Arial"/>
          <w:sz w:val="22"/>
          <w:szCs w:val="22"/>
          <w:lang w:eastAsia="en-US"/>
        </w:rPr>
        <w:t xml:space="preserve">der regnes med </w:t>
      </w:r>
      <w:r w:rsidR="00604D52" w:rsidRPr="00604D52">
        <w:rPr>
          <w:rFonts w:ascii="Arial" w:hAnsi="Arial" w:cs="Arial"/>
          <w:sz w:val="22"/>
          <w:szCs w:val="22"/>
          <w:lang w:eastAsia="en-US"/>
        </w:rPr>
        <w:t>10,8</w:t>
      </w:r>
      <w:r w:rsidR="002C2F6B" w:rsidRPr="00604D52">
        <w:rPr>
          <w:rFonts w:ascii="Arial" w:hAnsi="Arial" w:cs="Arial"/>
          <w:sz w:val="22"/>
          <w:szCs w:val="22"/>
          <w:lang w:eastAsia="en-US"/>
        </w:rPr>
        <w:t xml:space="preserve"> pct. flere ældre mellem 67-79 år. </w:t>
      </w:r>
    </w:p>
    <w:p w:rsidR="008F6786" w:rsidRPr="00604D52" w:rsidRDefault="00785266" w:rsidP="00A9702C">
      <w:pPr>
        <w:pStyle w:val="Normal1"/>
        <w:numPr>
          <w:ilvl w:val="0"/>
          <w:numId w:val="48"/>
        </w:numPr>
        <w:rPr>
          <w:lang w:eastAsia="en-US"/>
        </w:rPr>
      </w:pPr>
      <w:r w:rsidRPr="00604D52">
        <w:rPr>
          <w:rFonts w:ascii="Arial" w:hAnsi="Arial" w:cs="Arial"/>
          <w:sz w:val="22"/>
          <w:szCs w:val="22"/>
          <w:lang w:eastAsia="en-US"/>
        </w:rPr>
        <w:t>de</w:t>
      </w:r>
      <w:r w:rsidR="006D04C4" w:rsidRPr="00604D52">
        <w:rPr>
          <w:rFonts w:ascii="Arial" w:hAnsi="Arial" w:cs="Arial"/>
          <w:sz w:val="22"/>
          <w:szCs w:val="22"/>
          <w:lang w:eastAsia="en-US"/>
        </w:rPr>
        <w:t xml:space="preserve"> +80-årige </w:t>
      </w:r>
      <w:r w:rsidRPr="00604D52">
        <w:rPr>
          <w:rFonts w:ascii="Arial" w:hAnsi="Arial" w:cs="Arial"/>
          <w:sz w:val="22"/>
          <w:szCs w:val="22"/>
          <w:lang w:eastAsia="en-US"/>
        </w:rPr>
        <w:t xml:space="preserve">vil øges </w:t>
      </w:r>
      <w:r w:rsidR="00604D52" w:rsidRPr="00604D52">
        <w:rPr>
          <w:rFonts w:ascii="Arial" w:hAnsi="Arial" w:cs="Arial"/>
          <w:sz w:val="22"/>
          <w:szCs w:val="22"/>
          <w:lang w:eastAsia="en-US"/>
        </w:rPr>
        <w:t>med 23,0</w:t>
      </w:r>
      <w:r w:rsidRPr="00604D52">
        <w:rPr>
          <w:rFonts w:ascii="Arial" w:hAnsi="Arial" w:cs="Arial"/>
          <w:sz w:val="22"/>
          <w:szCs w:val="22"/>
          <w:lang w:eastAsia="en-US"/>
        </w:rPr>
        <w:t xml:space="preserve"> pct.</w:t>
      </w:r>
      <w:r w:rsidRPr="00604D52">
        <w:rPr>
          <w:lang w:eastAsia="en-US"/>
        </w:rPr>
        <w:t xml:space="preserve"> </w:t>
      </w:r>
    </w:p>
    <w:p w:rsidR="00785266" w:rsidRDefault="00785266" w:rsidP="00785266">
      <w:pPr>
        <w:pStyle w:val="Normal1"/>
        <w:rPr>
          <w:lang w:eastAsia="en-US"/>
        </w:rPr>
      </w:pPr>
    </w:p>
    <w:p w:rsidR="00785266" w:rsidRDefault="00785266" w:rsidP="00785266">
      <w:pPr>
        <w:pStyle w:val="Normal1"/>
        <w:rPr>
          <w:lang w:eastAsia="en-US"/>
        </w:rPr>
      </w:pPr>
      <w:r>
        <w:rPr>
          <w:lang w:eastAsia="en-US"/>
        </w:rPr>
        <w:t>Grafisk er det illustreret i figur 2.</w:t>
      </w:r>
    </w:p>
    <w:p w:rsidR="00A850A8" w:rsidRDefault="00A850A8" w:rsidP="006D04C4">
      <w:pPr>
        <w:pStyle w:val="Billedtekst"/>
        <w:rPr>
          <w:b/>
        </w:rPr>
      </w:pPr>
    </w:p>
    <w:p w:rsidR="006D04C4" w:rsidRPr="004A03EE" w:rsidRDefault="006D04C4" w:rsidP="006D04C4">
      <w:pPr>
        <w:pStyle w:val="Billedtekst"/>
        <w:rPr>
          <w:rFonts w:ascii="Arial" w:hAnsi="Arial" w:cs="Arial"/>
        </w:rPr>
      </w:pPr>
      <w:r w:rsidRPr="00AB228B">
        <w:rPr>
          <w:rFonts w:ascii="Arial" w:hAnsi="Arial" w:cs="Arial"/>
          <w:b/>
        </w:rPr>
        <w:t xml:space="preserve">Figur </w:t>
      </w:r>
      <w:r w:rsidRPr="00AB228B">
        <w:rPr>
          <w:rFonts w:ascii="Arial" w:hAnsi="Arial" w:cs="Arial"/>
          <w:b/>
        </w:rPr>
        <w:fldChar w:fldCharType="begin"/>
      </w:r>
      <w:r w:rsidRPr="00AB228B">
        <w:rPr>
          <w:rFonts w:ascii="Arial" w:hAnsi="Arial" w:cs="Arial"/>
          <w:b/>
        </w:rPr>
        <w:instrText xml:space="preserve"> SEQ Figur \* ARABIC </w:instrText>
      </w:r>
      <w:r w:rsidRPr="00AB228B">
        <w:rPr>
          <w:rFonts w:ascii="Arial" w:hAnsi="Arial" w:cs="Arial"/>
          <w:b/>
        </w:rPr>
        <w:fldChar w:fldCharType="separate"/>
      </w:r>
      <w:r w:rsidR="00313F67" w:rsidRPr="00AB228B">
        <w:rPr>
          <w:rFonts w:ascii="Arial" w:hAnsi="Arial" w:cs="Arial"/>
          <w:b/>
          <w:noProof/>
        </w:rPr>
        <w:t>2</w:t>
      </w:r>
      <w:r w:rsidRPr="00AB228B">
        <w:rPr>
          <w:rFonts w:ascii="Arial" w:hAnsi="Arial" w:cs="Arial"/>
          <w:b/>
        </w:rPr>
        <w:fldChar w:fldCharType="end"/>
      </w:r>
      <w:r w:rsidRPr="00AB228B">
        <w:rPr>
          <w:rFonts w:ascii="Arial" w:hAnsi="Arial" w:cs="Arial"/>
          <w:b/>
        </w:rPr>
        <w:t>.</w:t>
      </w:r>
      <w:r w:rsidRPr="004A03EE">
        <w:rPr>
          <w:rFonts w:ascii="Arial" w:hAnsi="Arial" w:cs="Arial"/>
        </w:rPr>
        <w:t xml:space="preserve"> Befolkningsfremskrivning </w:t>
      </w:r>
      <w:r w:rsidR="00AB228B">
        <w:rPr>
          <w:rFonts w:ascii="Arial" w:hAnsi="Arial" w:cs="Arial"/>
        </w:rPr>
        <w:t>for aldersgrupper - indeks (2019</w:t>
      </w:r>
      <w:r w:rsidRPr="004A03EE">
        <w:rPr>
          <w:rFonts w:ascii="Arial" w:hAnsi="Arial" w:cs="Arial"/>
        </w:rPr>
        <w:t xml:space="preserve"> = 100).</w:t>
      </w:r>
      <w:r w:rsidR="00AB228B">
        <w:rPr>
          <w:rFonts w:ascii="Arial" w:hAnsi="Arial" w:cs="Arial"/>
        </w:rPr>
        <w:t xml:space="preserve"> </w:t>
      </w:r>
    </w:p>
    <w:p w:rsidR="006D04C4" w:rsidRPr="00D30D29" w:rsidRDefault="00AB228B" w:rsidP="006D04C4">
      <w:pPr>
        <w:pStyle w:val="Normal1"/>
        <w:rPr>
          <w:noProof/>
          <w:highlight w:val="yellow"/>
        </w:rPr>
      </w:pPr>
      <w:r>
        <w:rPr>
          <w:noProof/>
        </w:rPr>
        <w:lastRenderedPageBreak/>
        <w:drawing>
          <wp:inline distT="0" distB="0" distL="0" distR="0" wp14:anchorId="553BB017" wp14:editId="6F5768FB">
            <wp:extent cx="6120765" cy="3060065"/>
            <wp:effectExtent l="0" t="0" r="0" b="6985"/>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04C4" w:rsidRPr="00E24EC5" w:rsidRDefault="006D04C4" w:rsidP="006D04C4">
      <w:pPr>
        <w:pStyle w:val="Normal1"/>
        <w:rPr>
          <w:rFonts w:asciiTheme="minorHAnsi" w:hAnsiTheme="minorHAnsi"/>
          <w:noProof/>
          <w:sz w:val="16"/>
          <w:szCs w:val="16"/>
        </w:rPr>
      </w:pPr>
      <w:r w:rsidRPr="00E24EC5">
        <w:rPr>
          <w:rFonts w:asciiTheme="minorHAnsi" w:hAnsiTheme="minorHAnsi"/>
          <w:noProof/>
          <w:sz w:val="16"/>
          <w:szCs w:val="16"/>
        </w:rPr>
        <w:t>Kilde: DemoGrafix.</w:t>
      </w:r>
    </w:p>
    <w:p w:rsidR="006D04C4" w:rsidRPr="00E24EC5" w:rsidRDefault="006D04C4" w:rsidP="006D04C4">
      <w:pPr>
        <w:pStyle w:val="Normal1"/>
        <w:rPr>
          <w:rFonts w:asciiTheme="minorHAnsi" w:hAnsiTheme="minorHAnsi"/>
          <w:noProof/>
          <w:sz w:val="16"/>
          <w:szCs w:val="16"/>
        </w:rPr>
      </w:pPr>
    </w:p>
    <w:p w:rsidR="006D04C4" w:rsidRPr="00A9702C" w:rsidRDefault="006D04C4" w:rsidP="006D04C4">
      <w:pPr>
        <w:pStyle w:val="Normal1"/>
        <w:rPr>
          <w:rFonts w:ascii="Arial" w:hAnsi="Arial" w:cs="Arial"/>
          <w:sz w:val="22"/>
          <w:szCs w:val="22"/>
          <w:lang w:eastAsia="en-US"/>
        </w:rPr>
      </w:pPr>
      <w:r w:rsidRPr="009A6893">
        <w:rPr>
          <w:rFonts w:ascii="Arial" w:hAnsi="Arial" w:cs="Arial"/>
          <w:sz w:val="22"/>
          <w:szCs w:val="22"/>
          <w:lang w:eastAsia="en-US"/>
        </w:rPr>
        <w:t xml:space="preserve">Prognoseresultaterne vil i øvrigt blive nøjere gennemgået i kapitel </w:t>
      </w:r>
      <w:r w:rsidR="00EA4925">
        <w:rPr>
          <w:rFonts w:ascii="Arial" w:hAnsi="Arial" w:cs="Arial"/>
          <w:sz w:val="22"/>
          <w:szCs w:val="22"/>
          <w:lang w:eastAsia="en-US"/>
        </w:rPr>
        <w:t>4</w:t>
      </w:r>
      <w:r w:rsidR="00626207" w:rsidRPr="009A6893">
        <w:rPr>
          <w:rFonts w:ascii="Arial" w:hAnsi="Arial" w:cs="Arial"/>
          <w:sz w:val="22"/>
          <w:szCs w:val="22"/>
          <w:lang w:eastAsia="en-US"/>
        </w:rPr>
        <w:t xml:space="preserve"> mens prognosens forudsætninger m.m</w:t>
      </w:r>
      <w:r w:rsidR="009A6893" w:rsidRPr="009A6893">
        <w:rPr>
          <w:rFonts w:ascii="Arial" w:hAnsi="Arial" w:cs="Arial"/>
          <w:sz w:val="22"/>
          <w:szCs w:val="22"/>
          <w:lang w:eastAsia="en-US"/>
        </w:rPr>
        <w:t>., beskrives nærmere i bilagsdelen</w:t>
      </w:r>
      <w:r w:rsidR="00940D91" w:rsidRPr="009A6893">
        <w:rPr>
          <w:rFonts w:ascii="Arial" w:hAnsi="Arial" w:cs="Arial"/>
          <w:sz w:val="22"/>
          <w:szCs w:val="22"/>
          <w:lang w:eastAsia="en-US"/>
        </w:rPr>
        <w:t>, som indeholder beskr</w:t>
      </w:r>
      <w:r w:rsidR="009A6893" w:rsidRPr="009A6893">
        <w:rPr>
          <w:rFonts w:ascii="Arial" w:hAnsi="Arial" w:cs="Arial"/>
          <w:sz w:val="22"/>
          <w:szCs w:val="22"/>
          <w:lang w:eastAsia="en-US"/>
        </w:rPr>
        <w:t>ivelse af selve prognosen og indeholder alle parameterområderne</w:t>
      </w:r>
      <w:r w:rsidR="00940D91" w:rsidRPr="009A6893">
        <w:rPr>
          <w:rFonts w:ascii="Arial" w:hAnsi="Arial" w:cs="Arial"/>
          <w:sz w:val="22"/>
          <w:szCs w:val="22"/>
          <w:lang w:eastAsia="en-US"/>
        </w:rPr>
        <w:t>.</w:t>
      </w:r>
      <w:r w:rsidR="00940D91">
        <w:rPr>
          <w:rFonts w:ascii="Arial" w:hAnsi="Arial" w:cs="Arial"/>
          <w:sz w:val="22"/>
          <w:szCs w:val="22"/>
          <w:lang w:eastAsia="en-US"/>
        </w:rPr>
        <w:t xml:space="preserve"> </w:t>
      </w:r>
    </w:p>
    <w:p w:rsidR="006D04C4" w:rsidRPr="00D30D29" w:rsidRDefault="006D04C4" w:rsidP="006D04C4">
      <w:pPr>
        <w:pStyle w:val="Normal1"/>
        <w:rPr>
          <w:highlight w:val="yellow"/>
        </w:rPr>
      </w:pPr>
    </w:p>
    <w:p w:rsidR="006D04C4" w:rsidRPr="00A679A3" w:rsidRDefault="006D04C4" w:rsidP="006D04C4">
      <w:pPr>
        <w:pStyle w:val="Overskrift1"/>
        <w:keepLines w:val="0"/>
        <w:numPr>
          <w:ilvl w:val="0"/>
          <w:numId w:val="5"/>
        </w:numPr>
        <w:tabs>
          <w:tab w:val="num" w:pos="574"/>
        </w:tabs>
        <w:spacing w:before="240" w:after="60"/>
        <w:ind w:left="0" w:firstLine="0"/>
        <w:jc w:val="both"/>
      </w:pPr>
      <w:r w:rsidRPr="00D30D29">
        <w:rPr>
          <w:highlight w:val="yellow"/>
        </w:rPr>
        <w:br w:type="page"/>
      </w:r>
      <w:bookmarkStart w:id="4" w:name="_Toc38355991"/>
      <w:r w:rsidRPr="00A679A3">
        <w:lastRenderedPageBreak/>
        <w:t>Indledning</w:t>
      </w:r>
      <w:bookmarkEnd w:id="1"/>
      <w:bookmarkEnd w:id="4"/>
    </w:p>
    <w:p w:rsidR="006D04C4" w:rsidRPr="00A9702C" w:rsidRDefault="00EE09CB" w:rsidP="006D04C4">
      <w:pPr>
        <w:pStyle w:val="Normal1"/>
        <w:rPr>
          <w:rFonts w:ascii="Arial" w:hAnsi="Arial" w:cs="Arial"/>
          <w:sz w:val="22"/>
          <w:szCs w:val="22"/>
          <w:lang w:eastAsia="en-US"/>
        </w:rPr>
      </w:pPr>
      <w:r w:rsidRPr="00A9702C">
        <w:rPr>
          <w:rFonts w:ascii="Arial" w:hAnsi="Arial" w:cs="Arial"/>
          <w:sz w:val="22"/>
          <w:szCs w:val="22"/>
          <w:lang w:eastAsia="en-US"/>
        </w:rPr>
        <w:t>Økonomi- og Ressourceforvaltningen</w:t>
      </w:r>
      <w:r w:rsidR="006D04C4" w:rsidRPr="00A9702C">
        <w:rPr>
          <w:rFonts w:ascii="Arial" w:hAnsi="Arial" w:cs="Arial"/>
          <w:sz w:val="22"/>
          <w:szCs w:val="22"/>
          <w:lang w:eastAsia="en-US"/>
        </w:rPr>
        <w:t xml:space="preserve"> reviderer hvert år befolkningsprognosen for Brøndby Kommune.</w:t>
      </w:r>
    </w:p>
    <w:p w:rsidR="006D04C4" w:rsidRPr="00A9702C" w:rsidRDefault="006D04C4" w:rsidP="006D04C4">
      <w:pPr>
        <w:pStyle w:val="Normal1"/>
        <w:rPr>
          <w:rFonts w:ascii="Arial" w:hAnsi="Arial" w:cs="Arial"/>
          <w:sz w:val="22"/>
          <w:szCs w:val="22"/>
          <w:lang w:eastAsia="en-US"/>
        </w:rPr>
      </w:pPr>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 xml:space="preserve">Den anvendte befolkningsprognosemodel, DemoGrafix, er udarbejdet af COWI og har været anvendt i Brøndby Kommune siden 2013. </w:t>
      </w:r>
    </w:p>
    <w:p w:rsidR="006D04C4" w:rsidRPr="00A9702C" w:rsidRDefault="006D04C4" w:rsidP="006D04C4">
      <w:pPr>
        <w:pStyle w:val="Normal1"/>
        <w:rPr>
          <w:rFonts w:ascii="Arial" w:hAnsi="Arial" w:cs="Arial"/>
          <w:sz w:val="22"/>
          <w:szCs w:val="22"/>
          <w:lang w:eastAsia="en-US"/>
        </w:rPr>
      </w:pPr>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Den årlige revidering af befolkningsprognose skyldes blandt andet, at resultaterne fra prognosen er et vigtigt element i såvel kommunens budgetlægning som i forbindelse med det øvrige kommunale planlægningsarbejde.</w:t>
      </w:r>
    </w:p>
    <w:p w:rsidR="006D04C4" w:rsidRPr="00A9702C" w:rsidRDefault="006D04C4" w:rsidP="006D04C4">
      <w:pPr>
        <w:pStyle w:val="Normal1"/>
        <w:rPr>
          <w:rFonts w:ascii="Arial" w:hAnsi="Arial" w:cs="Arial"/>
          <w:sz w:val="22"/>
          <w:szCs w:val="22"/>
          <w:lang w:eastAsia="en-US"/>
        </w:rPr>
      </w:pPr>
    </w:p>
    <w:p w:rsidR="00F2310A"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 xml:space="preserve">Budgetmæssigt anvendes befolkningsprognosen både til at estimere kommunens indtægter fra skat, tilskud og udligning og kommunens udgifter på </w:t>
      </w:r>
      <w:r w:rsidR="00B26B49">
        <w:rPr>
          <w:rFonts w:ascii="Arial" w:hAnsi="Arial" w:cs="Arial"/>
          <w:sz w:val="22"/>
          <w:szCs w:val="22"/>
          <w:lang w:eastAsia="en-US"/>
        </w:rPr>
        <w:t>områder</w:t>
      </w:r>
      <w:r w:rsidR="006E5D30">
        <w:rPr>
          <w:rFonts w:ascii="Arial" w:hAnsi="Arial" w:cs="Arial"/>
          <w:sz w:val="22"/>
          <w:szCs w:val="22"/>
          <w:lang w:eastAsia="en-US"/>
        </w:rPr>
        <w:t>,</w:t>
      </w:r>
      <w:r w:rsidR="00B26B49">
        <w:rPr>
          <w:rFonts w:ascii="Arial" w:hAnsi="Arial" w:cs="Arial"/>
          <w:sz w:val="22"/>
          <w:szCs w:val="22"/>
          <w:lang w:eastAsia="en-US"/>
        </w:rPr>
        <w:t xml:space="preserve"> der er relateret til demografi.</w:t>
      </w:r>
    </w:p>
    <w:p w:rsidR="006D04C4" w:rsidRPr="00A9702C" w:rsidRDefault="006D04C4" w:rsidP="006D04C4">
      <w:pPr>
        <w:pStyle w:val="Normal1"/>
        <w:rPr>
          <w:rFonts w:ascii="Arial" w:hAnsi="Arial" w:cs="Arial"/>
          <w:sz w:val="22"/>
          <w:szCs w:val="22"/>
          <w:lang w:eastAsia="en-US"/>
        </w:rPr>
      </w:pPr>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Befolkningsprognosen bidrager til at skabe et overblik over sammenhængen mellem boligudbygning og indbyggertal samt alderssammensætningen i kommunens befolkning. Prognosen danner således et grundlag for at kunne planlægge byudviklingen og vurdere kapacitetsbehovet for blandt andet daginstitutioner, skoler, SFO’er og ældreboliger/ældrecentre mv.</w:t>
      </w:r>
    </w:p>
    <w:p w:rsidR="006D04C4" w:rsidRPr="00A9702C" w:rsidRDefault="006D04C4" w:rsidP="006D04C4">
      <w:pPr>
        <w:pStyle w:val="Normal1"/>
        <w:rPr>
          <w:rFonts w:ascii="Arial" w:hAnsi="Arial" w:cs="Arial"/>
          <w:sz w:val="22"/>
          <w:szCs w:val="22"/>
          <w:lang w:eastAsia="en-US"/>
        </w:rPr>
      </w:pPr>
    </w:p>
    <w:p w:rsidR="00B53E23" w:rsidRDefault="006D04C4" w:rsidP="00B53E23">
      <w:pPr>
        <w:pStyle w:val="Normal1"/>
        <w:rPr>
          <w:rFonts w:ascii="Arial" w:hAnsi="Arial" w:cs="Arial"/>
          <w:sz w:val="22"/>
          <w:szCs w:val="22"/>
          <w:lang w:eastAsia="en-US"/>
        </w:rPr>
      </w:pPr>
      <w:r w:rsidRPr="00A9702C">
        <w:rPr>
          <w:rFonts w:ascii="Arial" w:hAnsi="Arial" w:cs="Arial"/>
          <w:sz w:val="22"/>
          <w:szCs w:val="22"/>
          <w:lang w:eastAsia="en-US"/>
        </w:rPr>
        <w:t>Befolkningsprognosen tager udgangspunkt i historiske b</w:t>
      </w:r>
      <w:r w:rsidR="00B53E23">
        <w:rPr>
          <w:rFonts w:ascii="Arial" w:hAnsi="Arial" w:cs="Arial"/>
          <w:sz w:val="22"/>
          <w:szCs w:val="22"/>
          <w:lang w:eastAsia="en-US"/>
        </w:rPr>
        <w:t>efolknings- og boligtal fra 2007</w:t>
      </w:r>
      <w:r w:rsidRPr="00A9702C">
        <w:rPr>
          <w:rFonts w:ascii="Arial" w:hAnsi="Arial" w:cs="Arial"/>
          <w:sz w:val="22"/>
          <w:szCs w:val="22"/>
          <w:lang w:eastAsia="en-US"/>
        </w:rPr>
        <w:t>-201</w:t>
      </w:r>
      <w:r w:rsidR="00B53E23">
        <w:rPr>
          <w:rFonts w:ascii="Arial" w:hAnsi="Arial" w:cs="Arial"/>
          <w:sz w:val="22"/>
          <w:szCs w:val="22"/>
          <w:lang w:eastAsia="en-US"/>
        </w:rPr>
        <w:t>9</w:t>
      </w:r>
      <w:r w:rsidRPr="00A9702C">
        <w:rPr>
          <w:rFonts w:ascii="Arial" w:hAnsi="Arial" w:cs="Arial"/>
          <w:sz w:val="22"/>
          <w:szCs w:val="22"/>
          <w:lang w:eastAsia="en-US"/>
        </w:rPr>
        <w:t xml:space="preserve"> samt boligbyggeprogrammet (det forv</w:t>
      </w:r>
      <w:r w:rsidR="00B53E23">
        <w:rPr>
          <w:rFonts w:ascii="Arial" w:hAnsi="Arial" w:cs="Arial"/>
          <w:sz w:val="22"/>
          <w:szCs w:val="22"/>
          <w:lang w:eastAsia="en-US"/>
        </w:rPr>
        <w:t>entede boligbyggeri) i årene 2020-2030</w:t>
      </w:r>
      <w:r w:rsidRPr="00A9702C">
        <w:rPr>
          <w:rFonts w:ascii="Arial" w:hAnsi="Arial" w:cs="Arial"/>
          <w:sz w:val="22"/>
          <w:szCs w:val="22"/>
          <w:lang w:eastAsia="en-US"/>
        </w:rPr>
        <w:t>. Boligbyggeprogrammet bygges på forventninger til boligbyggeriet fra kommunens tekniske forvaltning og baserer sig på den planlagte udbygning og omdannelse af bolig- og industriområder i kommunen.</w:t>
      </w:r>
    </w:p>
    <w:p w:rsidR="00B53E23" w:rsidRDefault="00B53E23" w:rsidP="00B53E23">
      <w:pPr>
        <w:pStyle w:val="Normal1"/>
        <w:rPr>
          <w:rFonts w:ascii="Arial" w:hAnsi="Arial" w:cs="Arial"/>
          <w:sz w:val="22"/>
          <w:szCs w:val="22"/>
          <w:lang w:eastAsia="en-US"/>
        </w:rPr>
      </w:pPr>
    </w:p>
    <w:p w:rsidR="002E24B1" w:rsidRDefault="00B53E23" w:rsidP="00B53E23">
      <w:pPr>
        <w:pStyle w:val="Normal1"/>
        <w:rPr>
          <w:rFonts w:ascii="Arial" w:hAnsi="Arial" w:cs="Arial"/>
          <w:sz w:val="22"/>
          <w:szCs w:val="22"/>
          <w:lang w:eastAsia="en-US"/>
        </w:rPr>
      </w:pPr>
      <w:r>
        <w:rPr>
          <w:rFonts w:ascii="Arial" w:hAnsi="Arial" w:cs="Arial"/>
          <w:sz w:val="22"/>
          <w:szCs w:val="22"/>
          <w:lang w:eastAsia="en-US"/>
        </w:rPr>
        <w:t>Byudvikling kan til tider være uforudsigelig. Derfor vil det ofte være sådan</w:t>
      </w:r>
      <w:r w:rsidR="002E24B1">
        <w:rPr>
          <w:rFonts w:ascii="Arial" w:hAnsi="Arial" w:cs="Arial"/>
          <w:sz w:val="22"/>
          <w:szCs w:val="22"/>
          <w:lang w:eastAsia="en-US"/>
        </w:rPr>
        <w:t>,</w:t>
      </w:r>
      <w:r>
        <w:rPr>
          <w:rFonts w:ascii="Arial" w:hAnsi="Arial" w:cs="Arial"/>
          <w:sz w:val="22"/>
          <w:szCs w:val="22"/>
          <w:lang w:eastAsia="en-US"/>
        </w:rPr>
        <w:t xml:space="preserve"> at når der er udarbejdet en befolkningsprognose ud fra det forventede byggeri, </w:t>
      </w:r>
      <w:r w:rsidR="004B251E">
        <w:rPr>
          <w:rFonts w:ascii="Arial" w:hAnsi="Arial" w:cs="Arial"/>
          <w:sz w:val="22"/>
          <w:szCs w:val="22"/>
          <w:lang w:eastAsia="en-US"/>
        </w:rPr>
        <w:t>er der en vis sandsynlighed for</w:t>
      </w:r>
      <w:r w:rsidR="006E5D30">
        <w:rPr>
          <w:rFonts w:ascii="Arial" w:hAnsi="Arial" w:cs="Arial"/>
          <w:sz w:val="22"/>
          <w:szCs w:val="22"/>
          <w:lang w:eastAsia="en-US"/>
        </w:rPr>
        <w:t>,</w:t>
      </w:r>
      <w:r w:rsidR="004B251E">
        <w:rPr>
          <w:rFonts w:ascii="Arial" w:hAnsi="Arial" w:cs="Arial"/>
          <w:sz w:val="22"/>
          <w:szCs w:val="22"/>
          <w:lang w:eastAsia="en-US"/>
        </w:rPr>
        <w:t xml:space="preserve"> at </w:t>
      </w:r>
      <w:r>
        <w:rPr>
          <w:rFonts w:ascii="Arial" w:hAnsi="Arial" w:cs="Arial"/>
          <w:sz w:val="22"/>
          <w:szCs w:val="22"/>
          <w:lang w:eastAsia="en-US"/>
        </w:rPr>
        <w:t xml:space="preserve">der kort tid efter </w:t>
      </w:r>
      <w:r w:rsidR="004B251E">
        <w:rPr>
          <w:rFonts w:ascii="Arial" w:hAnsi="Arial" w:cs="Arial"/>
          <w:sz w:val="22"/>
          <w:szCs w:val="22"/>
          <w:lang w:eastAsia="en-US"/>
        </w:rPr>
        <w:t xml:space="preserve">kan </w:t>
      </w:r>
      <w:r>
        <w:rPr>
          <w:rFonts w:ascii="Arial" w:hAnsi="Arial" w:cs="Arial"/>
          <w:sz w:val="22"/>
          <w:szCs w:val="22"/>
          <w:lang w:eastAsia="en-US"/>
        </w:rPr>
        <w:t>være sket ændringer i disse forudsætninger.</w:t>
      </w:r>
      <w:r w:rsidR="002E24B1">
        <w:rPr>
          <w:rFonts w:ascii="Arial" w:hAnsi="Arial" w:cs="Arial"/>
          <w:sz w:val="22"/>
          <w:szCs w:val="22"/>
          <w:lang w:eastAsia="en-US"/>
        </w:rPr>
        <w:t xml:space="preserve"> Men det er altid en svær øvelse at spå om fremtiden.</w:t>
      </w:r>
      <w:r>
        <w:rPr>
          <w:rFonts w:ascii="Arial" w:hAnsi="Arial" w:cs="Arial"/>
          <w:sz w:val="22"/>
          <w:szCs w:val="22"/>
          <w:lang w:eastAsia="en-US"/>
        </w:rPr>
        <w:t xml:space="preserve"> </w:t>
      </w:r>
    </w:p>
    <w:p w:rsidR="006D04C4" w:rsidRPr="00A9702C" w:rsidRDefault="006D04C4" w:rsidP="006D04C4">
      <w:pPr>
        <w:pStyle w:val="Normal1"/>
        <w:rPr>
          <w:rFonts w:ascii="Arial" w:hAnsi="Arial" w:cs="Arial"/>
          <w:sz w:val="22"/>
          <w:szCs w:val="22"/>
          <w:lang w:eastAsia="en-US"/>
        </w:rPr>
      </w:pPr>
    </w:p>
    <w:p w:rsidR="006D04C4" w:rsidRPr="00A9702C" w:rsidRDefault="00B53E23" w:rsidP="006D04C4">
      <w:pPr>
        <w:pStyle w:val="Normal1"/>
        <w:rPr>
          <w:rFonts w:ascii="Arial" w:hAnsi="Arial" w:cs="Arial"/>
          <w:sz w:val="22"/>
          <w:szCs w:val="22"/>
          <w:lang w:eastAsia="en-US"/>
        </w:rPr>
      </w:pPr>
      <w:r>
        <w:rPr>
          <w:rFonts w:ascii="Arial" w:hAnsi="Arial" w:cs="Arial"/>
          <w:sz w:val="22"/>
          <w:szCs w:val="22"/>
          <w:lang w:eastAsia="en-US"/>
        </w:rPr>
        <w:t>Usikkerhed eller ej så er boligprogrammet</w:t>
      </w:r>
      <w:r w:rsidR="006D04C4" w:rsidRPr="00A9702C">
        <w:rPr>
          <w:rFonts w:ascii="Arial" w:hAnsi="Arial" w:cs="Arial"/>
          <w:sz w:val="22"/>
          <w:szCs w:val="22"/>
          <w:lang w:eastAsia="en-US"/>
        </w:rPr>
        <w:t xml:space="preserve"> et afgørende element i prognoseberegningen og er desuden det element, som kommunen har størst mulighed for selv at regulere og påvirke. </w:t>
      </w:r>
    </w:p>
    <w:p w:rsidR="006D04C4" w:rsidRDefault="006D04C4" w:rsidP="006D04C4">
      <w:pPr>
        <w:pStyle w:val="Normal1"/>
        <w:rPr>
          <w:lang w:eastAsia="en-US"/>
        </w:rPr>
      </w:pPr>
    </w:p>
    <w:p w:rsidR="006D04C4" w:rsidRPr="00A9702C" w:rsidRDefault="006D04C4" w:rsidP="006258BF">
      <w:pPr>
        <w:pStyle w:val="Normal1"/>
        <w:pBdr>
          <w:top w:val="single" w:sz="4" w:space="1" w:color="auto"/>
          <w:left w:val="single" w:sz="4" w:space="4" w:color="auto"/>
          <w:bottom w:val="single" w:sz="4" w:space="1" w:color="auto"/>
          <w:right w:val="single" w:sz="4" w:space="4" w:color="auto"/>
        </w:pBdr>
        <w:rPr>
          <w:rFonts w:ascii="Arial" w:hAnsi="Arial" w:cs="Arial"/>
          <w:sz w:val="22"/>
          <w:szCs w:val="22"/>
          <w:lang w:eastAsia="en-US"/>
        </w:rPr>
      </w:pPr>
      <w:r w:rsidRPr="00A9702C">
        <w:rPr>
          <w:rFonts w:ascii="Arial" w:hAnsi="Arial" w:cs="Arial"/>
          <w:sz w:val="22"/>
          <w:szCs w:val="22"/>
          <w:lang w:eastAsia="en-US"/>
        </w:rPr>
        <w:t xml:space="preserve">Det skal i den forbindelse gøres opmærksom på, at især den forventede udvikling af byudviklingsprojektet i Kirkebjerg vil afspejle sig i befolkningsprognosen, hvor antallet af nye indbyggere kan forventes at stige med </w:t>
      </w:r>
      <w:r w:rsidRPr="001C7E03">
        <w:rPr>
          <w:rFonts w:ascii="Arial" w:hAnsi="Arial" w:cs="Arial"/>
          <w:sz w:val="22"/>
          <w:szCs w:val="22"/>
          <w:lang w:eastAsia="en-US"/>
        </w:rPr>
        <w:t xml:space="preserve">knap </w:t>
      </w:r>
      <w:r w:rsidR="006E5D30">
        <w:rPr>
          <w:rFonts w:ascii="Arial" w:hAnsi="Arial" w:cs="Arial"/>
          <w:sz w:val="22"/>
          <w:szCs w:val="22"/>
          <w:lang w:eastAsia="en-US"/>
        </w:rPr>
        <w:t>11,6</w:t>
      </w:r>
      <w:r w:rsidR="001C7E03" w:rsidRPr="001C7E03">
        <w:rPr>
          <w:rFonts w:ascii="Arial" w:hAnsi="Arial" w:cs="Arial"/>
          <w:sz w:val="22"/>
          <w:szCs w:val="22"/>
          <w:lang w:eastAsia="en-US"/>
        </w:rPr>
        <w:t xml:space="preserve"> % frem mod 2030</w:t>
      </w:r>
      <w:r w:rsidRPr="00A9702C">
        <w:rPr>
          <w:rFonts w:ascii="Arial" w:hAnsi="Arial" w:cs="Arial"/>
          <w:sz w:val="22"/>
          <w:szCs w:val="22"/>
          <w:lang w:eastAsia="en-US"/>
        </w:rPr>
        <w:t>.</w:t>
      </w:r>
      <w:r w:rsidR="009A6893">
        <w:rPr>
          <w:rFonts w:ascii="Arial" w:hAnsi="Arial" w:cs="Arial"/>
          <w:sz w:val="22"/>
          <w:szCs w:val="22"/>
          <w:lang w:eastAsia="en-US"/>
        </w:rPr>
        <w:t xml:space="preserve"> Da der er tale om et forholdsvis </w:t>
      </w:r>
      <w:r w:rsidR="009A6893">
        <w:rPr>
          <w:rFonts w:ascii="Arial" w:hAnsi="Arial" w:cs="Arial"/>
          <w:sz w:val="22"/>
          <w:szCs w:val="22"/>
          <w:lang w:eastAsia="en-US"/>
        </w:rPr>
        <w:lastRenderedPageBreak/>
        <w:t xml:space="preserve">stort byudviklingsprojekt som skal realiseres frem mod </w:t>
      </w:r>
      <w:r w:rsidR="009A6893" w:rsidRPr="001C7E03">
        <w:rPr>
          <w:rFonts w:ascii="Arial" w:hAnsi="Arial" w:cs="Arial"/>
          <w:sz w:val="22"/>
          <w:szCs w:val="22"/>
          <w:lang w:eastAsia="en-US"/>
        </w:rPr>
        <w:t>2025</w:t>
      </w:r>
      <w:r w:rsidR="009A6893">
        <w:rPr>
          <w:rFonts w:ascii="Arial" w:hAnsi="Arial" w:cs="Arial"/>
          <w:sz w:val="22"/>
          <w:szCs w:val="22"/>
          <w:lang w:eastAsia="en-US"/>
        </w:rPr>
        <w:t xml:space="preserve"> vil det være forbundet med usikkerhed fordi afsætningen af de mange boliger</w:t>
      </w:r>
      <w:r w:rsidR="00EA4925">
        <w:rPr>
          <w:rFonts w:ascii="Arial" w:hAnsi="Arial" w:cs="Arial"/>
          <w:sz w:val="22"/>
          <w:szCs w:val="22"/>
          <w:lang w:eastAsia="en-US"/>
        </w:rPr>
        <w:t xml:space="preserve"> skal følge med. </w:t>
      </w:r>
      <w:r w:rsidR="009A6893">
        <w:rPr>
          <w:rFonts w:ascii="Arial" w:hAnsi="Arial" w:cs="Arial"/>
          <w:sz w:val="22"/>
          <w:szCs w:val="22"/>
          <w:lang w:eastAsia="en-US"/>
        </w:rPr>
        <w:t xml:space="preserve"> </w:t>
      </w:r>
    </w:p>
    <w:p w:rsidR="006D04C4" w:rsidRPr="00A679A3" w:rsidRDefault="006D04C4" w:rsidP="006D04C4">
      <w:pPr>
        <w:pStyle w:val="Overskrift2"/>
        <w:keepLines w:val="0"/>
        <w:numPr>
          <w:ilvl w:val="1"/>
          <w:numId w:val="5"/>
        </w:numPr>
        <w:spacing w:before="240" w:after="60"/>
        <w:jc w:val="both"/>
      </w:pPr>
      <w:bookmarkStart w:id="5" w:name="_Toc38355992"/>
      <w:r w:rsidRPr="00A679A3">
        <w:t>Baggrund</w:t>
      </w:r>
      <w:r w:rsidR="00F92BA2">
        <w:t xml:space="preserve"> – hvorfor en befolkningsprognose</w:t>
      </w:r>
      <w:bookmarkEnd w:id="5"/>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Et af de centrale formål med befolkningsprognosen er at give politikere, administrative ledere og interesserede borgere</w:t>
      </w:r>
      <w:r w:rsidR="006E5D30">
        <w:rPr>
          <w:rFonts w:ascii="Arial" w:hAnsi="Arial" w:cs="Arial"/>
          <w:sz w:val="22"/>
          <w:szCs w:val="22"/>
          <w:lang w:eastAsia="en-US"/>
        </w:rPr>
        <w:t xml:space="preserve"> indsigt i</w:t>
      </w:r>
      <w:r w:rsidRPr="00A9702C">
        <w:rPr>
          <w:rFonts w:ascii="Arial" w:hAnsi="Arial" w:cs="Arial"/>
          <w:sz w:val="22"/>
          <w:szCs w:val="22"/>
          <w:lang w:eastAsia="en-US"/>
        </w:rPr>
        <w:t xml:space="preserve"> størrelse</w:t>
      </w:r>
      <w:r w:rsidR="006E5D30">
        <w:rPr>
          <w:rFonts w:ascii="Arial" w:hAnsi="Arial" w:cs="Arial"/>
          <w:sz w:val="22"/>
          <w:szCs w:val="22"/>
          <w:lang w:eastAsia="en-US"/>
        </w:rPr>
        <w:t>n</w:t>
      </w:r>
      <w:r w:rsidRPr="00A9702C">
        <w:rPr>
          <w:rFonts w:ascii="Arial" w:hAnsi="Arial" w:cs="Arial"/>
          <w:sz w:val="22"/>
          <w:szCs w:val="22"/>
          <w:lang w:eastAsia="en-US"/>
        </w:rPr>
        <w:t xml:space="preserve"> og sammensætning</w:t>
      </w:r>
      <w:r w:rsidR="006E5D30">
        <w:rPr>
          <w:rFonts w:ascii="Arial" w:hAnsi="Arial" w:cs="Arial"/>
          <w:sz w:val="22"/>
          <w:szCs w:val="22"/>
          <w:lang w:eastAsia="en-US"/>
        </w:rPr>
        <w:t>en af kommunens befolkning</w:t>
      </w:r>
      <w:r w:rsidRPr="00A9702C">
        <w:rPr>
          <w:rFonts w:ascii="Arial" w:hAnsi="Arial" w:cs="Arial"/>
          <w:sz w:val="22"/>
          <w:szCs w:val="22"/>
          <w:lang w:eastAsia="en-US"/>
        </w:rPr>
        <w:t>. Særligt befolkningssammensætningen i forhold til alder er vigtig, fordi den har afgørende betydning for kommunens udvikling som lokalsamfund i forhold til behov og muligheder, men ikke mindst også for kommunens økonomiske udvikling – herunder både indtægter og udgifter. Befolkningens samlede størrelse spiller dog også en betydelig rolle i forhold til kommunens indtægter fra bloktilskud og lignende.</w:t>
      </w:r>
    </w:p>
    <w:p w:rsidR="006D04C4" w:rsidRPr="00A9702C" w:rsidRDefault="006D04C4" w:rsidP="006D04C4">
      <w:pPr>
        <w:pStyle w:val="Normal1"/>
        <w:rPr>
          <w:rFonts w:ascii="Arial" w:hAnsi="Arial" w:cs="Arial"/>
          <w:sz w:val="22"/>
          <w:szCs w:val="22"/>
          <w:lang w:eastAsia="en-US"/>
        </w:rPr>
      </w:pPr>
    </w:p>
    <w:p w:rsidR="00F92BA2"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Viden om og indsigt i befolkningsudviklingen i eksempelvis et 3-årigt, et 5-årigt eller et 10-årigt perspektiv har afgørende betydning, fordi der normalt er en forholdsvis tæt kausalitet mellem den menneskelige livscyklus og borgerens behov for og efterspørgsel på den service og de ydelser, som</w:t>
      </w:r>
      <w:r w:rsidR="00EA4925">
        <w:rPr>
          <w:rFonts w:ascii="Arial" w:hAnsi="Arial" w:cs="Arial"/>
          <w:sz w:val="22"/>
          <w:szCs w:val="22"/>
          <w:lang w:eastAsia="en-US"/>
        </w:rPr>
        <w:t xml:space="preserve"> bliver leveret af blandt </w:t>
      </w:r>
      <w:r w:rsidRPr="00A9702C">
        <w:rPr>
          <w:rFonts w:ascii="Arial" w:hAnsi="Arial" w:cs="Arial"/>
          <w:sz w:val="22"/>
          <w:szCs w:val="22"/>
          <w:lang w:eastAsia="en-US"/>
        </w:rPr>
        <w:t xml:space="preserve">kommunen. </w:t>
      </w:r>
    </w:p>
    <w:p w:rsidR="00F92BA2" w:rsidRDefault="00F92BA2" w:rsidP="006D04C4">
      <w:pPr>
        <w:pStyle w:val="Normal1"/>
        <w:rPr>
          <w:rFonts w:ascii="Arial" w:hAnsi="Arial" w:cs="Arial"/>
          <w:sz w:val="22"/>
          <w:szCs w:val="22"/>
          <w:lang w:eastAsia="en-US"/>
        </w:rPr>
      </w:pPr>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Efterspørgslen på modtagersiden af den offentlige service varierer således temmelig systematisk med alderen – startende med vuggestuer samt børnehaver og senere efterfulgt af skoler, fritidsordninger samt kulturtilbud og til sidst af ældrecentre/plejehjem</w:t>
      </w:r>
      <w:r w:rsidR="00EA4925">
        <w:rPr>
          <w:rFonts w:ascii="Arial" w:hAnsi="Arial" w:cs="Arial"/>
          <w:sz w:val="22"/>
          <w:szCs w:val="22"/>
          <w:lang w:eastAsia="en-US"/>
        </w:rPr>
        <w:t>, hjemmepleje/sygepleje</w:t>
      </w:r>
      <w:r w:rsidRPr="00A9702C">
        <w:rPr>
          <w:rFonts w:ascii="Arial" w:hAnsi="Arial" w:cs="Arial"/>
          <w:sz w:val="22"/>
          <w:szCs w:val="22"/>
          <w:lang w:eastAsia="en-US"/>
        </w:rPr>
        <w:t xml:space="preserve"> og lignende. På bidragersiden vides det med rimelig sikkerhed, at det typisk er borgere mellem 17 og 66 år, der indgår i arbejdsstyrken, og derved – såfremt de er i arbejde – genererer de skatteindtægter, som finansierer den kommunale velfærdsservice.</w:t>
      </w:r>
    </w:p>
    <w:p w:rsidR="006D04C4" w:rsidRPr="00A9702C" w:rsidRDefault="006D04C4" w:rsidP="006D04C4">
      <w:pPr>
        <w:pStyle w:val="Normal1"/>
        <w:rPr>
          <w:rFonts w:ascii="Arial" w:hAnsi="Arial" w:cs="Arial"/>
          <w:sz w:val="22"/>
          <w:szCs w:val="22"/>
          <w:lang w:eastAsia="en-US"/>
        </w:rPr>
      </w:pPr>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Et fornuftigt indblik i befolkningsudvik</w:t>
      </w:r>
      <w:r w:rsidR="006E5D30">
        <w:rPr>
          <w:rFonts w:ascii="Arial" w:hAnsi="Arial" w:cs="Arial"/>
          <w:sz w:val="22"/>
          <w:szCs w:val="22"/>
          <w:lang w:eastAsia="en-US"/>
        </w:rPr>
        <w:t>lingen</w:t>
      </w:r>
      <w:r w:rsidRPr="00A9702C">
        <w:rPr>
          <w:rFonts w:ascii="Arial" w:hAnsi="Arial" w:cs="Arial"/>
          <w:sz w:val="22"/>
          <w:szCs w:val="22"/>
          <w:lang w:eastAsia="en-US"/>
        </w:rPr>
        <w:t xml:space="preserve"> er</w:t>
      </w:r>
      <w:r w:rsidR="006E5D30">
        <w:rPr>
          <w:rFonts w:ascii="Arial" w:hAnsi="Arial" w:cs="Arial"/>
          <w:sz w:val="22"/>
          <w:szCs w:val="22"/>
          <w:lang w:eastAsia="en-US"/>
        </w:rPr>
        <w:t xml:space="preserve"> derfor</w:t>
      </w:r>
      <w:r w:rsidRPr="00A9702C">
        <w:rPr>
          <w:rFonts w:ascii="Arial" w:hAnsi="Arial" w:cs="Arial"/>
          <w:sz w:val="22"/>
          <w:szCs w:val="22"/>
          <w:lang w:eastAsia="en-US"/>
        </w:rPr>
        <w:t xml:space="preserve"> med til at give politikere, ledere, ansatte og borgere i Brøndby Kommune kendskab til potentielle strukturelle økonomiske udfordringer på kort og på længere sigt. Derved bidrager befolkningsprognosen med grundlag for at træffe beslutninger, der kan tackle eller imødegå potentielle udfordringer, før end de udvikler sig til reelle problemer for kommunens nuværende og fremtidige borgere.</w:t>
      </w:r>
    </w:p>
    <w:p w:rsidR="006D04C4" w:rsidRPr="00D30D29" w:rsidRDefault="006D04C4" w:rsidP="006D04C4">
      <w:pPr>
        <w:pStyle w:val="Normal1"/>
        <w:rPr>
          <w:highlight w:val="yellow"/>
        </w:rPr>
      </w:pPr>
    </w:p>
    <w:p w:rsidR="00EA7206"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Denne befolkningsprognose opererer med et perspektiv på 10 år, og det er vigtigt at understrege, at en befolkningsprognose ikke er en nøjagtig forudsigelse om fremtiden, men en fremskrivning af</w:t>
      </w:r>
      <w:r w:rsidRPr="00A703BE">
        <w:rPr>
          <w:lang w:eastAsia="en-US"/>
        </w:rPr>
        <w:t xml:space="preserve"> </w:t>
      </w:r>
      <w:r w:rsidRPr="00A9702C">
        <w:rPr>
          <w:rFonts w:ascii="Arial" w:hAnsi="Arial" w:cs="Arial"/>
          <w:sz w:val="22"/>
          <w:szCs w:val="22"/>
          <w:lang w:eastAsia="en-US"/>
        </w:rPr>
        <w:t>folketallet, ud fra en forventning til at de anvendte statistiske forudsætninger og formodninger holder i hele prognoseperioden</w:t>
      </w:r>
      <w:r w:rsidR="006E5D30">
        <w:rPr>
          <w:rFonts w:ascii="Arial" w:hAnsi="Arial" w:cs="Arial"/>
          <w:sz w:val="22"/>
          <w:szCs w:val="22"/>
          <w:lang w:eastAsia="en-US"/>
        </w:rPr>
        <w:t>. Det er d</w:t>
      </w:r>
      <w:r w:rsidR="00EA7206">
        <w:rPr>
          <w:rFonts w:ascii="Arial" w:hAnsi="Arial" w:cs="Arial"/>
          <w:sz w:val="22"/>
          <w:szCs w:val="22"/>
          <w:lang w:eastAsia="en-US"/>
        </w:rPr>
        <w:t>ermed vores bedste skøn på nuværende tidspunkt som skrevet i resumeet</w:t>
      </w:r>
      <w:r w:rsidRPr="00A9702C">
        <w:rPr>
          <w:rFonts w:ascii="Arial" w:hAnsi="Arial" w:cs="Arial"/>
          <w:sz w:val="22"/>
          <w:szCs w:val="22"/>
          <w:lang w:eastAsia="en-US"/>
        </w:rPr>
        <w:t>.</w:t>
      </w:r>
    </w:p>
    <w:p w:rsidR="00EA7206" w:rsidRDefault="00EA7206" w:rsidP="006D04C4">
      <w:pPr>
        <w:pStyle w:val="Normal1"/>
        <w:rPr>
          <w:rFonts w:ascii="Arial" w:hAnsi="Arial" w:cs="Arial"/>
          <w:sz w:val="22"/>
          <w:szCs w:val="22"/>
          <w:lang w:eastAsia="en-US"/>
        </w:rPr>
      </w:pPr>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lastRenderedPageBreak/>
        <w:t>Usikkerheden stiger derved også markant, jo længere frem i prognoseårene, man kigger. Heri ligger således også, at prognosen aldrig med sikkerhed kan forudsige radikale ændringer i sociokulturelle trends eller alvorlige økonomiske konjunkturudsving, som sandsynligvis vil kunne indvirke betydeligt på flyttemønstre mv. Endvidere er prognosen i sagens natur heller ikke i stand til at forudsige de politiske påvirkninger, som kommer fra Folketinget eller fra Kommunalbestyrelsen i Brøndby.</w:t>
      </w:r>
      <w:r w:rsidR="00020159" w:rsidRPr="00A9702C">
        <w:rPr>
          <w:rFonts w:ascii="Arial" w:hAnsi="Arial" w:cs="Arial"/>
          <w:sz w:val="22"/>
          <w:szCs w:val="22"/>
          <w:lang w:eastAsia="en-US"/>
        </w:rPr>
        <w:t xml:space="preserve"> Især to hovedfaktorer har haft en vis indflydelse på befolkningsprognosen nemlig nedrivningen i Brøndby Strand og byudviklingsprojektet i Kirkebjerg.</w:t>
      </w:r>
      <w:r w:rsidR="006E5D30">
        <w:rPr>
          <w:rFonts w:ascii="Arial" w:hAnsi="Arial" w:cs="Arial"/>
          <w:sz w:val="22"/>
          <w:szCs w:val="22"/>
          <w:lang w:eastAsia="en-US"/>
        </w:rPr>
        <w:t xml:space="preserve"> Set i lyset af den ukendte situation vi i skrivende stund har med COVID-19 bliver også interessant at se hvile konsekvenser det har på til-/fraflytninger og selve byudviklingen. Her tænkes blandt andet på boligpriser m.m.</w:t>
      </w:r>
    </w:p>
    <w:p w:rsidR="006D04C4" w:rsidRPr="00033CCD" w:rsidRDefault="00C0225E" w:rsidP="006D04C4">
      <w:pPr>
        <w:pStyle w:val="Overskrift2"/>
        <w:keepLines w:val="0"/>
        <w:numPr>
          <w:ilvl w:val="1"/>
          <w:numId w:val="5"/>
        </w:numPr>
        <w:spacing w:before="240" w:after="60"/>
        <w:jc w:val="both"/>
      </w:pPr>
      <w:bookmarkStart w:id="6" w:name="_Toc38355993"/>
      <w:r>
        <w:t>PCB i fem højhuse</w:t>
      </w:r>
      <w:r w:rsidR="006D04C4" w:rsidRPr="00033CCD">
        <w:t xml:space="preserve"> i Brøndby Strand</w:t>
      </w:r>
      <w:bookmarkEnd w:id="6"/>
    </w:p>
    <w:p w:rsidR="00427460" w:rsidRDefault="00693710" w:rsidP="00693710">
      <w:pPr>
        <w:pStyle w:val="Normal1"/>
        <w:rPr>
          <w:rFonts w:ascii="Arial" w:hAnsi="Arial" w:cs="Arial"/>
          <w:sz w:val="22"/>
          <w:szCs w:val="22"/>
          <w:lang w:eastAsia="en-US"/>
        </w:rPr>
      </w:pPr>
      <w:r w:rsidRPr="00A9702C">
        <w:rPr>
          <w:rFonts w:ascii="Arial" w:hAnsi="Arial" w:cs="Arial"/>
          <w:sz w:val="22"/>
          <w:szCs w:val="22"/>
          <w:lang w:eastAsia="en-US"/>
        </w:rPr>
        <w:t xml:space="preserve">I de tidligere befolkningsprognoser har der været skrevet om pcb i visse lejligheder i Brøndby Strand. </w:t>
      </w:r>
      <w:r w:rsidR="009D4201">
        <w:rPr>
          <w:rFonts w:ascii="Arial" w:hAnsi="Arial" w:cs="Arial"/>
          <w:sz w:val="22"/>
          <w:szCs w:val="22"/>
          <w:lang w:eastAsia="en-US"/>
        </w:rPr>
        <w:t>Genhusningen</w:t>
      </w:r>
      <w:r w:rsidR="00EA4925">
        <w:rPr>
          <w:rFonts w:ascii="Arial" w:hAnsi="Arial" w:cs="Arial"/>
          <w:sz w:val="22"/>
          <w:szCs w:val="22"/>
          <w:lang w:eastAsia="en-US"/>
        </w:rPr>
        <w:t xml:space="preserve"> har været i fuld gang de sidste par</w:t>
      </w:r>
      <w:r w:rsidR="009D4201">
        <w:rPr>
          <w:rFonts w:ascii="Arial" w:hAnsi="Arial" w:cs="Arial"/>
          <w:sz w:val="22"/>
          <w:szCs w:val="22"/>
          <w:lang w:eastAsia="en-US"/>
        </w:rPr>
        <w:t xml:space="preserve"> år og er</w:t>
      </w:r>
      <w:r w:rsidRPr="00A9702C">
        <w:rPr>
          <w:rFonts w:ascii="Arial" w:hAnsi="Arial" w:cs="Arial"/>
          <w:sz w:val="22"/>
          <w:szCs w:val="22"/>
          <w:lang w:eastAsia="en-US"/>
        </w:rPr>
        <w:t xml:space="preserve"> nu ved at nærme sig sin afslutning</w:t>
      </w:r>
      <w:r w:rsidR="009D4201">
        <w:rPr>
          <w:rFonts w:ascii="Arial" w:hAnsi="Arial" w:cs="Arial"/>
          <w:sz w:val="22"/>
          <w:szCs w:val="22"/>
          <w:lang w:eastAsia="en-US"/>
        </w:rPr>
        <w:t>. D</w:t>
      </w:r>
      <w:r w:rsidRPr="00A9702C">
        <w:rPr>
          <w:rFonts w:ascii="Arial" w:hAnsi="Arial" w:cs="Arial"/>
          <w:sz w:val="22"/>
          <w:szCs w:val="22"/>
          <w:lang w:eastAsia="en-US"/>
        </w:rPr>
        <w:t>erfor er der i udarbejdelsen af befolkningsprognosen</w:t>
      </w:r>
      <w:r w:rsidR="00E12D83">
        <w:rPr>
          <w:rFonts w:ascii="Arial" w:hAnsi="Arial" w:cs="Arial"/>
          <w:sz w:val="22"/>
          <w:szCs w:val="22"/>
          <w:lang w:eastAsia="en-US"/>
        </w:rPr>
        <w:t xml:space="preserve"> for 2020-2030</w:t>
      </w:r>
      <w:r w:rsidR="009D4201">
        <w:rPr>
          <w:rFonts w:ascii="Arial" w:hAnsi="Arial" w:cs="Arial"/>
          <w:sz w:val="22"/>
          <w:szCs w:val="22"/>
          <w:lang w:eastAsia="en-US"/>
        </w:rPr>
        <w:t xml:space="preserve"> nu</w:t>
      </w:r>
      <w:r w:rsidRPr="00A9702C">
        <w:rPr>
          <w:rFonts w:ascii="Arial" w:hAnsi="Arial" w:cs="Arial"/>
          <w:sz w:val="22"/>
          <w:szCs w:val="22"/>
          <w:lang w:eastAsia="en-US"/>
        </w:rPr>
        <w:t xml:space="preserve"> taget højde for dels genhusningen</w:t>
      </w:r>
      <w:r w:rsidR="009D4201">
        <w:rPr>
          <w:rFonts w:ascii="Arial" w:hAnsi="Arial" w:cs="Arial"/>
          <w:sz w:val="22"/>
          <w:szCs w:val="22"/>
          <w:lang w:eastAsia="en-US"/>
        </w:rPr>
        <w:t xml:space="preserve"> og de konsekvenser det har for befolkningsudviklingen</w:t>
      </w:r>
      <w:r w:rsidR="00EA4925">
        <w:rPr>
          <w:rFonts w:ascii="Arial" w:hAnsi="Arial" w:cs="Arial"/>
          <w:sz w:val="22"/>
          <w:szCs w:val="22"/>
          <w:lang w:eastAsia="en-US"/>
        </w:rPr>
        <w:t>,</w:t>
      </w:r>
      <w:r w:rsidRPr="00A9702C">
        <w:rPr>
          <w:rFonts w:ascii="Arial" w:hAnsi="Arial" w:cs="Arial"/>
          <w:sz w:val="22"/>
          <w:szCs w:val="22"/>
          <w:lang w:eastAsia="en-US"/>
        </w:rPr>
        <w:t xml:space="preserve"> og dels de</w:t>
      </w:r>
      <w:r w:rsidR="009D4201">
        <w:rPr>
          <w:rFonts w:ascii="Arial" w:hAnsi="Arial" w:cs="Arial"/>
          <w:sz w:val="22"/>
          <w:szCs w:val="22"/>
          <w:lang w:eastAsia="en-US"/>
        </w:rPr>
        <w:t xml:space="preserve"> nu</w:t>
      </w:r>
      <w:r w:rsidRPr="00A9702C">
        <w:rPr>
          <w:rFonts w:ascii="Arial" w:hAnsi="Arial" w:cs="Arial"/>
          <w:sz w:val="22"/>
          <w:szCs w:val="22"/>
          <w:lang w:eastAsia="en-US"/>
        </w:rPr>
        <w:t xml:space="preserve"> tomme lejligheder som ikke længere kan </w:t>
      </w:r>
      <w:r w:rsidR="00336959">
        <w:rPr>
          <w:rFonts w:ascii="Arial" w:hAnsi="Arial" w:cs="Arial"/>
          <w:sz w:val="22"/>
          <w:szCs w:val="22"/>
          <w:lang w:eastAsia="en-US"/>
        </w:rPr>
        <w:t xml:space="preserve">være </w:t>
      </w:r>
      <w:r w:rsidR="00336959" w:rsidRPr="00A9702C">
        <w:rPr>
          <w:rFonts w:ascii="Arial" w:hAnsi="Arial" w:cs="Arial"/>
          <w:sz w:val="22"/>
          <w:szCs w:val="22"/>
          <w:lang w:eastAsia="en-US"/>
        </w:rPr>
        <w:t>bebo</w:t>
      </w:r>
      <w:r w:rsidR="00336959">
        <w:rPr>
          <w:rFonts w:ascii="Arial" w:hAnsi="Arial" w:cs="Arial"/>
          <w:sz w:val="22"/>
          <w:szCs w:val="22"/>
          <w:lang w:eastAsia="en-US"/>
        </w:rPr>
        <w:t>et</w:t>
      </w:r>
      <w:r w:rsidRPr="00A9702C">
        <w:rPr>
          <w:rFonts w:ascii="Arial" w:hAnsi="Arial" w:cs="Arial"/>
          <w:sz w:val="22"/>
          <w:szCs w:val="22"/>
          <w:lang w:eastAsia="en-US"/>
        </w:rPr>
        <w:t xml:space="preserve">. </w:t>
      </w:r>
    </w:p>
    <w:p w:rsidR="00427460" w:rsidRDefault="00427460" w:rsidP="00693710">
      <w:pPr>
        <w:pStyle w:val="Normal1"/>
        <w:rPr>
          <w:rFonts w:ascii="Arial" w:hAnsi="Arial" w:cs="Arial"/>
          <w:sz w:val="22"/>
          <w:szCs w:val="22"/>
          <w:lang w:eastAsia="en-US"/>
        </w:rPr>
      </w:pPr>
    </w:p>
    <w:p w:rsidR="00693710" w:rsidRPr="009D4201" w:rsidRDefault="006D04C4" w:rsidP="00693710">
      <w:pPr>
        <w:pStyle w:val="Normal1"/>
        <w:rPr>
          <w:rFonts w:ascii="Arial" w:hAnsi="Arial" w:cs="Arial"/>
          <w:sz w:val="22"/>
          <w:szCs w:val="22"/>
          <w:lang w:eastAsia="en-US"/>
        </w:rPr>
      </w:pPr>
      <w:r w:rsidRPr="00A9702C">
        <w:rPr>
          <w:rFonts w:ascii="Arial" w:hAnsi="Arial" w:cs="Arial"/>
          <w:sz w:val="22"/>
          <w:szCs w:val="22"/>
          <w:lang w:eastAsia="en-US"/>
        </w:rPr>
        <w:t>De fem højhuse omfatter i alt 35.000 kv</w:t>
      </w:r>
      <w:r w:rsidR="00BD13FE">
        <w:rPr>
          <w:rFonts w:ascii="Arial" w:hAnsi="Arial" w:cs="Arial"/>
          <w:sz w:val="22"/>
          <w:szCs w:val="22"/>
          <w:lang w:eastAsia="en-US"/>
        </w:rPr>
        <w:t>adratmeter med ca. 320 lejemål</w:t>
      </w:r>
      <w:r w:rsidR="00E12D83">
        <w:rPr>
          <w:rFonts w:ascii="Arial" w:hAnsi="Arial" w:cs="Arial"/>
          <w:sz w:val="22"/>
          <w:szCs w:val="22"/>
          <w:lang w:eastAsia="en-US"/>
        </w:rPr>
        <w:t>. I skrivende stund er det</w:t>
      </w:r>
      <w:r w:rsidR="00427460">
        <w:rPr>
          <w:rFonts w:ascii="Arial" w:hAnsi="Arial" w:cs="Arial"/>
          <w:sz w:val="22"/>
          <w:szCs w:val="22"/>
          <w:lang w:eastAsia="en-US"/>
        </w:rPr>
        <w:t xml:space="preserve"> i alt</w:t>
      </w:r>
      <w:r w:rsidR="00E12D83">
        <w:rPr>
          <w:rFonts w:ascii="Arial" w:hAnsi="Arial" w:cs="Arial"/>
          <w:sz w:val="22"/>
          <w:szCs w:val="22"/>
          <w:lang w:eastAsia="en-US"/>
        </w:rPr>
        <w:t xml:space="preserve"> fire højhuse som er ubeboet, mens der stadig er et enkelt</w:t>
      </w:r>
      <w:r w:rsidR="00427460">
        <w:rPr>
          <w:rFonts w:ascii="Arial" w:hAnsi="Arial" w:cs="Arial"/>
          <w:sz w:val="22"/>
          <w:szCs w:val="22"/>
          <w:lang w:eastAsia="en-US"/>
        </w:rPr>
        <w:t xml:space="preserve"> højhus</w:t>
      </w:r>
      <w:r w:rsidR="00E12D83">
        <w:rPr>
          <w:rFonts w:ascii="Arial" w:hAnsi="Arial" w:cs="Arial"/>
          <w:sz w:val="22"/>
          <w:szCs w:val="22"/>
          <w:lang w:eastAsia="en-US"/>
        </w:rPr>
        <w:t xml:space="preserve"> med ca.</w:t>
      </w:r>
      <w:r w:rsidR="00B64E73">
        <w:rPr>
          <w:rFonts w:ascii="Arial" w:hAnsi="Arial" w:cs="Arial"/>
          <w:color w:val="FF0000"/>
          <w:sz w:val="22"/>
          <w:szCs w:val="22"/>
          <w:lang w:eastAsia="en-US"/>
        </w:rPr>
        <w:t xml:space="preserve"> </w:t>
      </w:r>
      <w:r w:rsidR="00B64E73" w:rsidRPr="00B64E73">
        <w:rPr>
          <w:rFonts w:ascii="Arial" w:hAnsi="Arial" w:cs="Arial"/>
          <w:color w:val="auto"/>
          <w:sz w:val="22"/>
          <w:szCs w:val="22"/>
          <w:lang w:eastAsia="en-US"/>
        </w:rPr>
        <w:t>60-65</w:t>
      </w:r>
      <w:r w:rsidR="00E12D83" w:rsidRPr="006E5D30">
        <w:rPr>
          <w:rFonts w:ascii="Arial" w:hAnsi="Arial" w:cs="Arial"/>
          <w:color w:val="FF0000"/>
          <w:sz w:val="22"/>
          <w:szCs w:val="22"/>
          <w:lang w:eastAsia="en-US"/>
        </w:rPr>
        <w:t xml:space="preserve"> </w:t>
      </w:r>
      <w:r w:rsidR="00E12D83">
        <w:rPr>
          <w:rFonts w:ascii="Arial" w:hAnsi="Arial" w:cs="Arial"/>
          <w:sz w:val="22"/>
          <w:szCs w:val="22"/>
          <w:lang w:eastAsia="en-US"/>
        </w:rPr>
        <w:t>lejemål. Forventningen er at inden for en to-</w:t>
      </w:r>
      <w:r w:rsidR="004E467E">
        <w:rPr>
          <w:rFonts w:ascii="Arial" w:hAnsi="Arial" w:cs="Arial"/>
          <w:sz w:val="22"/>
          <w:szCs w:val="22"/>
          <w:lang w:eastAsia="en-US"/>
        </w:rPr>
        <w:t>å</w:t>
      </w:r>
      <w:r w:rsidR="00E12D83">
        <w:rPr>
          <w:rFonts w:ascii="Arial" w:hAnsi="Arial" w:cs="Arial"/>
          <w:sz w:val="22"/>
          <w:szCs w:val="22"/>
          <w:lang w:eastAsia="en-US"/>
        </w:rPr>
        <w:t>rig periode er dette højhus også ubeboet. Den</w:t>
      </w:r>
      <w:r w:rsidR="004E467E">
        <w:rPr>
          <w:rFonts w:ascii="Arial" w:hAnsi="Arial" w:cs="Arial"/>
          <w:sz w:val="22"/>
          <w:szCs w:val="22"/>
          <w:lang w:eastAsia="en-US"/>
        </w:rPr>
        <w:t>ne</w:t>
      </w:r>
      <w:r w:rsidR="00E12D83">
        <w:rPr>
          <w:rFonts w:ascii="Arial" w:hAnsi="Arial" w:cs="Arial"/>
          <w:sz w:val="22"/>
          <w:szCs w:val="22"/>
          <w:lang w:eastAsia="en-US"/>
        </w:rPr>
        <w:t xml:space="preserve"> udvikling er indregnet</w:t>
      </w:r>
      <w:r w:rsidR="00BD13FE">
        <w:rPr>
          <w:rFonts w:ascii="Arial" w:hAnsi="Arial" w:cs="Arial"/>
          <w:sz w:val="22"/>
          <w:szCs w:val="22"/>
          <w:lang w:eastAsia="en-US"/>
        </w:rPr>
        <w:t xml:space="preserve"> </w:t>
      </w:r>
      <w:r w:rsidR="00E12D83">
        <w:rPr>
          <w:rFonts w:ascii="Arial" w:hAnsi="Arial" w:cs="Arial"/>
          <w:sz w:val="22"/>
          <w:szCs w:val="22"/>
          <w:lang w:eastAsia="en-US"/>
        </w:rPr>
        <w:t>i</w:t>
      </w:r>
      <w:r w:rsidR="00BD13FE">
        <w:rPr>
          <w:rFonts w:ascii="Arial" w:hAnsi="Arial" w:cs="Arial"/>
          <w:sz w:val="22"/>
          <w:szCs w:val="22"/>
          <w:lang w:eastAsia="en-US"/>
        </w:rPr>
        <w:t xml:space="preserve"> prognosen</w:t>
      </w:r>
      <w:r w:rsidR="00EA4925">
        <w:rPr>
          <w:rFonts w:ascii="Arial" w:hAnsi="Arial" w:cs="Arial"/>
          <w:sz w:val="22"/>
          <w:szCs w:val="22"/>
          <w:lang w:eastAsia="en-US"/>
        </w:rPr>
        <w:t>,</w:t>
      </w:r>
      <w:r w:rsidR="009D4201">
        <w:rPr>
          <w:rFonts w:ascii="Arial" w:hAnsi="Arial" w:cs="Arial"/>
          <w:sz w:val="22"/>
          <w:szCs w:val="22"/>
          <w:lang w:eastAsia="en-US"/>
        </w:rPr>
        <w:t xml:space="preserve"> og </w:t>
      </w:r>
      <w:r w:rsidR="00E12D83">
        <w:rPr>
          <w:rFonts w:ascii="Arial" w:hAnsi="Arial" w:cs="Arial"/>
          <w:sz w:val="22"/>
          <w:szCs w:val="22"/>
          <w:lang w:eastAsia="en-US"/>
        </w:rPr>
        <w:t>er til forskel fra sidste befolkningsprognose</w:t>
      </w:r>
      <w:r w:rsidR="006E5D30">
        <w:rPr>
          <w:rFonts w:ascii="Arial" w:hAnsi="Arial" w:cs="Arial"/>
          <w:sz w:val="22"/>
          <w:szCs w:val="22"/>
          <w:lang w:eastAsia="en-US"/>
        </w:rPr>
        <w:t>,</w:t>
      </w:r>
      <w:r w:rsidR="00E12D83">
        <w:rPr>
          <w:rFonts w:ascii="Arial" w:hAnsi="Arial" w:cs="Arial"/>
          <w:sz w:val="22"/>
          <w:szCs w:val="22"/>
          <w:lang w:eastAsia="en-US"/>
        </w:rPr>
        <w:t xml:space="preserve"> </w:t>
      </w:r>
      <w:r w:rsidR="009D4201">
        <w:rPr>
          <w:rFonts w:ascii="Arial" w:hAnsi="Arial" w:cs="Arial"/>
          <w:sz w:val="22"/>
          <w:szCs w:val="22"/>
          <w:lang w:eastAsia="en-US"/>
        </w:rPr>
        <w:t>derfor</w:t>
      </w:r>
      <w:r w:rsidR="00E12D83">
        <w:rPr>
          <w:rFonts w:ascii="Arial" w:hAnsi="Arial" w:cs="Arial"/>
          <w:sz w:val="22"/>
          <w:szCs w:val="22"/>
          <w:lang w:eastAsia="en-US"/>
        </w:rPr>
        <w:t xml:space="preserve"> en anelse mere positiv for befolkningsudviklingen i Brøndby Strand, i hvert fald de næste to år. </w:t>
      </w:r>
      <w:r w:rsidR="009A04D0">
        <w:rPr>
          <w:rFonts w:ascii="Arial" w:hAnsi="Arial" w:cs="Arial"/>
          <w:sz w:val="22"/>
          <w:szCs w:val="22"/>
          <w:lang w:eastAsia="en-US"/>
        </w:rPr>
        <w:t>Det skyldes at prognosen sidste år forventede at alle fem højhuse ville være ubeboet fra 2020.</w:t>
      </w:r>
      <w:r w:rsidR="009D4201">
        <w:rPr>
          <w:rFonts w:ascii="Arial" w:hAnsi="Arial" w:cs="Arial"/>
          <w:sz w:val="22"/>
          <w:szCs w:val="22"/>
          <w:lang w:eastAsia="en-US"/>
        </w:rPr>
        <w:t xml:space="preserve"> </w:t>
      </w:r>
      <w:r w:rsidR="004E467E">
        <w:rPr>
          <w:rFonts w:ascii="Arial" w:hAnsi="Arial" w:cs="Arial"/>
          <w:sz w:val="22"/>
          <w:szCs w:val="22"/>
          <w:lang w:eastAsia="en-US"/>
        </w:rPr>
        <w:t xml:space="preserve">Det </w:t>
      </w:r>
      <w:r w:rsidR="00865473">
        <w:rPr>
          <w:rFonts w:ascii="Arial" w:hAnsi="Arial" w:cs="Arial"/>
          <w:sz w:val="22"/>
          <w:szCs w:val="22"/>
          <w:lang w:eastAsia="en-US"/>
        </w:rPr>
        <w:t>efterlader dog ikke tvivl om at</w:t>
      </w:r>
      <w:r w:rsidR="009D4201">
        <w:rPr>
          <w:rFonts w:ascii="Arial" w:hAnsi="Arial" w:cs="Arial"/>
          <w:sz w:val="22"/>
          <w:szCs w:val="22"/>
          <w:lang w:eastAsia="en-US"/>
        </w:rPr>
        <w:t xml:space="preserve"> den samlede bo</w:t>
      </w:r>
      <w:r w:rsidR="00336959">
        <w:rPr>
          <w:rFonts w:ascii="Arial" w:hAnsi="Arial" w:cs="Arial"/>
          <w:sz w:val="22"/>
          <w:szCs w:val="22"/>
          <w:lang w:eastAsia="en-US"/>
        </w:rPr>
        <w:t>ligmasse i</w:t>
      </w:r>
      <w:r w:rsidR="00EA4925">
        <w:rPr>
          <w:rFonts w:ascii="Arial" w:hAnsi="Arial" w:cs="Arial"/>
          <w:sz w:val="22"/>
          <w:szCs w:val="22"/>
          <w:lang w:eastAsia="en-US"/>
        </w:rPr>
        <w:t xml:space="preserve"> område</w:t>
      </w:r>
      <w:r w:rsidR="00336959">
        <w:rPr>
          <w:rFonts w:ascii="Arial" w:hAnsi="Arial" w:cs="Arial"/>
          <w:sz w:val="22"/>
          <w:szCs w:val="22"/>
          <w:lang w:eastAsia="en-US"/>
        </w:rPr>
        <w:t>t</w:t>
      </w:r>
      <w:r w:rsidR="00EA4925">
        <w:rPr>
          <w:rFonts w:ascii="Arial" w:hAnsi="Arial" w:cs="Arial"/>
          <w:sz w:val="22"/>
          <w:szCs w:val="22"/>
          <w:lang w:eastAsia="en-US"/>
        </w:rPr>
        <w:t xml:space="preserve"> </w:t>
      </w:r>
      <w:r w:rsidR="004E467E">
        <w:rPr>
          <w:rFonts w:ascii="Arial" w:hAnsi="Arial" w:cs="Arial"/>
          <w:sz w:val="22"/>
          <w:szCs w:val="22"/>
          <w:lang w:eastAsia="en-US"/>
        </w:rPr>
        <w:t xml:space="preserve">er </w:t>
      </w:r>
      <w:r w:rsidR="00EA4925">
        <w:rPr>
          <w:rFonts w:ascii="Arial" w:hAnsi="Arial" w:cs="Arial"/>
          <w:sz w:val="22"/>
          <w:szCs w:val="22"/>
          <w:lang w:eastAsia="en-US"/>
        </w:rPr>
        <w:t>reduceret</w:t>
      </w:r>
      <w:r w:rsidR="009D4201">
        <w:rPr>
          <w:rFonts w:ascii="Arial" w:hAnsi="Arial" w:cs="Arial"/>
          <w:sz w:val="22"/>
          <w:szCs w:val="22"/>
          <w:lang w:eastAsia="en-US"/>
        </w:rPr>
        <w:t>.</w:t>
      </w:r>
    </w:p>
    <w:p w:rsidR="003E71A3" w:rsidRDefault="003E71A3" w:rsidP="003E71A3">
      <w:pPr>
        <w:pStyle w:val="Overskrift2"/>
        <w:keepLines w:val="0"/>
        <w:numPr>
          <w:ilvl w:val="1"/>
          <w:numId w:val="5"/>
        </w:numPr>
        <w:spacing w:before="240" w:after="60"/>
        <w:jc w:val="both"/>
      </w:pPr>
      <w:bookmarkStart w:id="7" w:name="_Toc38355994"/>
      <w:r>
        <w:t xml:space="preserve">Kirkebjerg </w:t>
      </w:r>
      <w:r w:rsidR="00020159">
        <w:t>–</w:t>
      </w:r>
      <w:r>
        <w:t xml:space="preserve"> byudviklingsprojekt</w:t>
      </w:r>
      <w:bookmarkEnd w:id="7"/>
    </w:p>
    <w:p w:rsidR="00020159" w:rsidRPr="00A9702C" w:rsidRDefault="00020159" w:rsidP="00020159">
      <w:pPr>
        <w:pStyle w:val="Normal1"/>
        <w:rPr>
          <w:rFonts w:ascii="Arial" w:hAnsi="Arial" w:cs="Arial"/>
          <w:sz w:val="22"/>
          <w:szCs w:val="22"/>
          <w:lang w:eastAsia="en-US"/>
        </w:rPr>
      </w:pPr>
      <w:r w:rsidRPr="00A9702C">
        <w:rPr>
          <w:rFonts w:ascii="Arial" w:hAnsi="Arial" w:cs="Arial"/>
          <w:sz w:val="22"/>
          <w:szCs w:val="22"/>
          <w:lang w:eastAsia="en-US"/>
        </w:rPr>
        <w:t xml:space="preserve">I de seneste rapporter om befolkningsprognosen er der i det forventede boligprogram for Brøndby Kommune indarbejdet en hel del boliger grundet byudviklingen i Kirkebjerg. Udgangspunktet for denne befolkningsprognose er </w:t>
      </w:r>
      <w:r w:rsidR="006E5D30">
        <w:rPr>
          <w:rFonts w:ascii="Arial" w:hAnsi="Arial" w:cs="Arial"/>
          <w:sz w:val="22"/>
          <w:szCs w:val="22"/>
          <w:lang w:eastAsia="en-US"/>
        </w:rPr>
        <w:t xml:space="preserve">en revidering af </w:t>
      </w:r>
      <w:r w:rsidRPr="00A9702C">
        <w:rPr>
          <w:rFonts w:ascii="Arial" w:hAnsi="Arial" w:cs="Arial"/>
          <w:sz w:val="22"/>
          <w:szCs w:val="22"/>
          <w:lang w:eastAsia="en-US"/>
        </w:rPr>
        <w:t>det hovedscenarie</w:t>
      </w:r>
      <w:r w:rsidR="00EA4925">
        <w:rPr>
          <w:rFonts w:ascii="Arial" w:hAnsi="Arial" w:cs="Arial"/>
          <w:sz w:val="22"/>
          <w:szCs w:val="22"/>
          <w:lang w:eastAsia="en-US"/>
        </w:rPr>
        <w:t>,</w:t>
      </w:r>
      <w:r w:rsidRPr="00A9702C">
        <w:rPr>
          <w:rFonts w:ascii="Arial" w:hAnsi="Arial" w:cs="Arial"/>
          <w:sz w:val="22"/>
          <w:szCs w:val="22"/>
          <w:lang w:eastAsia="en-US"/>
        </w:rPr>
        <w:t xml:space="preserve"> som Brøndby Kommune i samarbejde med COWI har udarbejdet. Det betyder at der frem mod </w:t>
      </w:r>
      <w:r w:rsidRPr="003425AF">
        <w:rPr>
          <w:rFonts w:ascii="Arial" w:hAnsi="Arial" w:cs="Arial"/>
          <w:sz w:val="22"/>
          <w:szCs w:val="22"/>
          <w:lang w:eastAsia="en-US"/>
        </w:rPr>
        <w:t>2025</w:t>
      </w:r>
      <w:r w:rsidRPr="00A9702C">
        <w:rPr>
          <w:rFonts w:ascii="Arial" w:hAnsi="Arial" w:cs="Arial"/>
          <w:sz w:val="22"/>
          <w:szCs w:val="22"/>
          <w:lang w:eastAsia="en-US"/>
        </w:rPr>
        <w:t xml:space="preserve"> forventes at b</w:t>
      </w:r>
      <w:r w:rsidR="003425AF">
        <w:rPr>
          <w:rFonts w:ascii="Arial" w:hAnsi="Arial" w:cs="Arial"/>
          <w:sz w:val="22"/>
          <w:szCs w:val="22"/>
          <w:lang w:eastAsia="en-US"/>
        </w:rPr>
        <w:t>live bygget lidt mere end</w:t>
      </w:r>
      <w:r w:rsidRPr="00A9702C">
        <w:rPr>
          <w:rFonts w:ascii="Arial" w:hAnsi="Arial" w:cs="Arial"/>
          <w:sz w:val="22"/>
          <w:szCs w:val="22"/>
          <w:lang w:eastAsia="en-US"/>
        </w:rPr>
        <w:t xml:space="preserve"> </w:t>
      </w:r>
      <w:r w:rsidR="003425AF" w:rsidRPr="003425AF">
        <w:rPr>
          <w:rFonts w:ascii="Arial" w:hAnsi="Arial" w:cs="Arial"/>
          <w:sz w:val="22"/>
          <w:szCs w:val="22"/>
          <w:lang w:eastAsia="en-US"/>
        </w:rPr>
        <w:t>2</w:t>
      </w:r>
      <w:r w:rsidR="003425AF">
        <w:rPr>
          <w:rFonts w:ascii="Arial" w:hAnsi="Arial" w:cs="Arial"/>
          <w:sz w:val="22"/>
          <w:szCs w:val="22"/>
          <w:lang w:eastAsia="en-US"/>
        </w:rPr>
        <w:t>.100</w:t>
      </w:r>
      <w:r w:rsidRPr="00A9702C">
        <w:rPr>
          <w:rFonts w:ascii="Arial" w:hAnsi="Arial" w:cs="Arial"/>
          <w:sz w:val="22"/>
          <w:szCs w:val="22"/>
          <w:lang w:eastAsia="en-US"/>
        </w:rPr>
        <w:t xml:space="preserve"> boliger i varierende størrelse. De fleste boliger vil være etage</w:t>
      </w:r>
      <w:r w:rsidR="00C66A37" w:rsidRPr="00A9702C">
        <w:rPr>
          <w:rFonts w:ascii="Arial" w:hAnsi="Arial" w:cs="Arial"/>
          <w:sz w:val="22"/>
          <w:szCs w:val="22"/>
          <w:lang w:eastAsia="en-US"/>
        </w:rPr>
        <w:t>boliger</w:t>
      </w:r>
      <w:r w:rsidR="00EA4925">
        <w:rPr>
          <w:rFonts w:ascii="Arial" w:hAnsi="Arial" w:cs="Arial"/>
          <w:sz w:val="22"/>
          <w:szCs w:val="22"/>
          <w:lang w:eastAsia="en-US"/>
        </w:rPr>
        <w:t>,</w:t>
      </w:r>
      <w:r w:rsidR="00C66A37" w:rsidRPr="00A9702C">
        <w:rPr>
          <w:rFonts w:ascii="Arial" w:hAnsi="Arial" w:cs="Arial"/>
          <w:sz w:val="22"/>
          <w:szCs w:val="22"/>
          <w:lang w:eastAsia="en-US"/>
        </w:rPr>
        <w:t xml:space="preserve"> men</w:t>
      </w:r>
      <w:r w:rsidR="00EA4925">
        <w:rPr>
          <w:rFonts w:ascii="Arial" w:hAnsi="Arial" w:cs="Arial"/>
          <w:sz w:val="22"/>
          <w:szCs w:val="22"/>
          <w:lang w:eastAsia="en-US"/>
        </w:rPr>
        <w:t xml:space="preserve"> der</w:t>
      </w:r>
      <w:r w:rsidR="00C66A37" w:rsidRPr="00A9702C">
        <w:rPr>
          <w:rFonts w:ascii="Arial" w:hAnsi="Arial" w:cs="Arial"/>
          <w:sz w:val="22"/>
          <w:szCs w:val="22"/>
          <w:lang w:eastAsia="en-US"/>
        </w:rPr>
        <w:t xml:space="preserve"> indgår også rækkehuse</w:t>
      </w:r>
      <w:r w:rsidRPr="00A9702C">
        <w:rPr>
          <w:rFonts w:ascii="Arial" w:hAnsi="Arial" w:cs="Arial"/>
          <w:sz w:val="22"/>
          <w:szCs w:val="22"/>
          <w:lang w:eastAsia="en-US"/>
        </w:rPr>
        <w:t xml:space="preserve"> i hovedscenariet. Der er selvfølgelig en række usikkerheder med dette hovedscenarie især </w:t>
      </w:r>
      <w:r w:rsidR="00FC28C8" w:rsidRPr="00A9702C">
        <w:rPr>
          <w:rFonts w:ascii="Arial" w:hAnsi="Arial" w:cs="Arial"/>
          <w:sz w:val="22"/>
          <w:szCs w:val="22"/>
          <w:lang w:eastAsia="en-US"/>
        </w:rPr>
        <w:t xml:space="preserve">med hensyn til </w:t>
      </w:r>
      <w:r w:rsidR="00991462" w:rsidRPr="00A9702C">
        <w:rPr>
          <w:rFonts w:ascii="Arial" w:hAnsi="Arial" w:cs="Arial"/>
          <w:sz w:val="22"/>
          <w:szCs w:val="22"/>
          <w:lang w:eastAsia="en-US"/>
        </w:rPr>
        <w:t xml:space="preserve">tidsperioden </w:t>
      </w:r>
      <w:r w:rsidR="003425AF">
        <w:rPr>
          <w:rFonts w:ascii="Arial" w:hAnsi="Arial" w:cs="Arial"/>
          <w:sz w:val="22"/>
          <w:szCs w:val="22"/>
          <w:lang w:eastAsia="en-US"/>
        </w:rPr>
        <w:t>for den forventede opførelse af så mange</w:t>
      </w:r>
      <w:r w:rsidR="00991462" w:rsidRPr="00A9702C">
        <w:rPr>
          <w:rFonts w:ascii="Arial" w:hAnsi="Arial" w:cs="Arial"/>
          <w:sz w:val="22"/>
          <w:szCs w:val="22"/>
          <w:lang w:eastAsia="en-US"/>
        </w:rPr>
        <w:t xml:space="preserve"> boliger</w:t>
      </w:r>
      <w:r w:rsidR="00EA4925">
        <w:rPr>
          <w:rFonts w:ascii="Arial" w:hAnsi="Arial" w:cs="Arial"/>
          <w:sz w:val="22"/>
          <w:szCs w:val="22"/>
          <w:lang w:eastAsia="en-US"/>
        </w:rPr>
        <w:t>,</w:t>
      </w:r>
      <w:r w:rsidR="00991462" w:rsidRPr="00A9702C">
        <w:rPr>
          <w:rFonts w:ascii="Arial" w:hAnsi="Arial" w:cs="Arial"/>
          <w:sz w:val="22"/>
          <w:szCs w:val="22"/>
          <w:lang w:eastAsia="en-US"/>
        </w:rPr>
        <w:t xml:space="preserve"> og om afsætningen af boligerne følger trop. </w:t>
      </w:r>
    </w:p>
    <w:p w:rsidR="006D04C4" w:rsidRPr="00A9702C" w:rsidRDefault="006D04C4" w:rsidP="00693710">
      <w:pPr>
        <w:pStyle w:val="Normal1"/>
        <w:rPr>
          <w:rFonts w:ascii="Arial" w:hAnsi="Arial" w:cs="Arial"/>
          <w:sz w:val="22"/>
          <w:szCs w:val="22"/>
          <w:lang w:eastAsia="en-US"/>
        </w:rPr>
      </w:pPr>
    </w:p>
    <w:p w:rsidR="006D04C4" w:rsidRDefault="00940D91" w:rsidP="006D04C4">
      <w:pPr>
        <w:pStyle w:val="Normal1"/>
        <w:rPr>
          <w:rFonts w:ascii="Arial" w:hAnsi="Arial" w:cs="Arial"/>
          <w:sz w:val="22"/>
          <w:szCs w:val="22"/>
          <w:lang w:eastAsia="en-US"/>
        </w:rPr>
      </w:pPr>
      <w:r>
        <w:rPr>
          <w:rFonts w:ascii="Arial" w:hAnsi="Arial" w:cs="Arial"/>
          <w:sz w:val="22"/>
          <w:szCs w:val="22"/>
          <w:lang w:eastAsia="en-US"/>
        </w:rPr>
        <w:t>Hovedr</w:t>
      </w:r>
      <w:r w:rsidR="006D04C4" w:rsidRPr="00A9702C">
        <w:rPr>
          <w:rFonts w:ascii="Arial" w:hAnsi="Arial" w:cs="Arial"/>
          <w:sz w:val="22"/>
          <w:szCs w:val="22"/>
          <w:lang w:eastAsia="en-US"/>
        </w:rPr>
        <w:t>apporten er opbygget, som følger:</w:t>
      </w:r>
    </w:p>
    <w:p w:rsidR="00B856FE" w:rsidRPr="00A9702C" w:rsidRDefault="00B856FE" w:rsidP="006D04C4">
      <w:pPr>
        <w:pStyle w:val="Normal1"/>
        <w:rPr>
          <w:rFonts w:ascii="Arial" w:hAnsi="Arial" w:cs="Arial"/>
          <w:sz w:val="22"/>
          <w:szCs w:val="22"/>
          <w:lang w:eastAsia="en-US"/>
        </w:rPr>
      </w:pPr>
    </w:p>
    <w:p w:rsidR="006D04C4" w:rsidRPr="00A9702C" w:rsidRDefault="006D04C4" w:rsidP="006D04C4">
      <w:pPr>
        <w:pStyle w:val="Normal1"/>
        <w:rPr>
          <w:rFonts w:ascii="Arial" w:hAnsi="Arial" w:cs="Arial"/>
          <w:sz w:val="22"/>
          <w:szCs w:val="22"/>
          <w:lang w:eastAsia="en-US"/>
        </w:rPr>
      </w:pPr>
    </w:p>
    <w:p w:rsidR="006D04C4" w:rsidRPr="00A9702C" w:rsidRDefault="006D04C4" w:rsidP="00A9702C">
      <w:pPr>
        <w:pStyle w:val="Normal1"/>
        <w:rPr>
          <w:rFonts w:ascii="Arial" w:hAnsi="Arial" w:cs="Arial"/>
          <w:sz w:val="22"/>
          <w:szCs w:val="22"/>
          <w:lang w:eastAsia="en-US"/>
        </w:rPr>
      </w:pPr>
      <w:r w:rsidRPr="00A9702C">
        <w:rPr>
          <w:rFonts w:ascii="Arial" w:hAnsi="Arial" w:cs="Arial"/>
          <w:sz w:val="22"/>
          <w:szCs w:val="22"/>
          <w:lang w:eastAsia="en-US"/>
        </w:rPr>
        <w:t>I kapitel 1 gives et resume af befolkningsprognosens vigtigste resultater mv.</w:t>
      </w:r>
    </w:p>
    <w:p w:rsidR="006D04C4" w:rsidRPr="00A9702C" w:rsidRDefault="006D04C4" w:rsidP="006D04C4">
      <w:pPr>
        <w:pStyle w:val="Normal1"/>
        <w:rPr>
          <w:rFonts w:ascii="Arial" w:hAnsi="Arial" w:cs="Arial"/>
          <w:sz w:val="22"/>
          <w:szCs w:val="22"/>
          <w:lang w:eastAsia="en-US"/>
        </w:rPr>
      </w:pPr>
    </w:p>
    <w:p w:rsidR="006D04C4" w:rsidRPr="00A9702C" w:rsidRDefault="006D04C4" w:rsidP="00A9702C">
      <w:pPr>
        <w:pStyle w:val="Normal1"/>
        <w:rPr>
          <w:rFonts w:ascii="Arial" w:hAnsi="Arial" w:cs="Arial"/>
          <w:sz w:val="22"/>
          <w:szCs w:val="22"/>
          <w:lang w:eastAsia="en-US"/>
        </w:rPr>
      </w:pPr>
      <w:r w:rsidRPr="00A9702C">
        <w:rPr>
          <w:rFonts w:ascii="Arial" w:hAnsi="Arial" w:cs="Arial"/>
          <w:sz w:val="22"/>
          <w:szCs w:val="22"/>
          <w:lang w:eastAsia="en-US"/>
        </w:rPr>
        <w:t>I kapitel 2 gives en indledning til rapporten, herunder bl.a. baggrunden for at udarbejde en befolkningsprognose, præsentation af hovedforudsætninger m.m.</w:t>
      </w:r>
    </w:p>
    <w:p w:rsidR="006D04C4" w:rsidRPr="00A9702C" w:rsidRDefault="006D04C4" w:rsidP="00A9702C">
      <w:pPr>
        <w:pStyle w:val="Normal1"/>
        <w:rPr>
          <w:rFonts w:ascii="Arial" w:hAnsi="Arial" w:cs="Arial"/>
          <w:sz w:val="22"/>
          <w:szCs w:val="22"/>
          <w:lang w:eastAsia="en-US"/>
        </w:rPr>
      </w:pPr>
    </w:p>
    <w:p w:rsidR="006D04C4" w:rsidRPr="00A9702C" w:rsidRDefault="006D04C4" w:rsidP="00A9702C">
      <w:pPr>
        <w:pStyle w:val="Normal1"/>
        <w:rPr>
          <w:rFonts w:ascii="Arial" w:hAnsi="Arial" w:cs="Arial"/>
          <w:sz w:val="22"/>
          <w:szCs w:val="22"/>
          <w:lang w:eastAsia="en-US"/>
        </w:rPr>
      </w:pPr>
      <w:r w:rsidRPr="00A9702C">
        <w:rPr>
          <w:rFonts w:ascii="Arial" w:hAnsi="Arial" w:cs="Arial"/>
          <w:sz w:val="22"/>
          <w:szCs w:val="22"/>
          <w:lang w:eastAsia="en-US"/>
        </w:rPr>
        <w:t>I kapitel 3 gives en kort gennemgang af den historiske befolkningsudvikling i kommunen, herunder bevægelserne i det forgangne år mv.</w:t>
      </w:r>
    </w:p>
    <w:p w:rsidR="006D04C4" w:rsidRPr="00A9702C" w:rsidRDefault="006D04C4" w:rsidP="00A9702C">
      <w:pPr>
        <w:pStyle w:val="Normal1"/>
        <w:rPr>
          <w:rFonts w:ascii="Arial" w:hAnsi="Arial" w:cs="Arial"/>
          <w:sz w:val="22"/>
          <w:szCs w:val="22"/>
          <w:lang w:eastAsia="en-US"/>
        </w:rPr>
      </w:pPr>
    </w:p>
    <w:p w:rsidR="006D04C4" w:rsidRPr="00A9702C" w:rsidRDefault="006D04C4" w:rsidP="00A9702C">
      <w:pPr>
        <w:pStyle w:val="Normal1"/>
        <w:rPr>
          <w:rFonts w:ascii="Arial" w:hAnsi="Arial" w:cs="Arial"/>
          <w:sz w:val="22"/>
          <w:szCs w:val="22"/>
          <w:lang w:eastAsia="en-US"/>
        </w:rPr>
      </w:pPr>
      <w:r w:rsidRPr="00A9702C">
        <w:rPr>
          <w:rFonts w:ascii="Arial" w:hAnsi="Arial" w:cs="Arial"/>
          <w:sz w:val="22"/>
          <w:szCs w:val="22"/>
          <w:lang w:eastAsia="en-US"/>
        </w:rPr>
        <w:t>I kapitel 4 behandles prognosens hovedresultater, herunder på såvel kommune som bydelsniveau. Både udviklingen i det samlede befolkningstal og forskydninger mellem aldersgrupperne behandles.</w:t>
      </w:r>
    </w:p>
    <w:p w:rsidR="006D04C4" w:rsidRPr="00A9702C" w:rsidRDefault="006D04C4" w:rsidP="00A9702C">
      <w:pPr>
        <w:pStyle w:val="Normal1"/>
        <w:rPr>
          <w:rFonts w:ascii="Arial" w:hAnsi="Arial" w:cs="Arial"/>
          <w:sz w:val="22"/>
          <w:szCs w:val="22"/>
          <w:lang w:eastAsia="en-US"/>
        </w:rPr>
      </w:pPr>
    </w:p>
    <w:p w:rsidR="006D04C4" w:rsidRPr="00A9702C" w:rsidRDefault="006D04C4" w:rsidP="00A9702C">
      <w:pPr>
        <w:pStyle w:val="Normal1"/>
        <w:rPr>
          <w:rFonts w:ascii="Arial" w:hAnsi="Arial" w:cs="Arial"/>
          <w:sz w:val="22"/>
          <w:szCs w:val="22"/>
          <w:lang w:eastAsia="en-US"/>
        </w:rPr>
      </w:pPr>
      <w:r w:rsidRPr="00A9702C">
        <w:rPr>
          <w:rFonts w:ascii="Arial" w:hAnsi="Arial" w:cs="Arial"/>
          <w:sz w:val="22"/>
          <w:szCs w:val="22"/>
          <w:lang w:eastAsia="en-US"/>
        </w:rPr>
        <w:t>I</w:t>
      </w:r>
      <w:r w:rsidR="006B64F5" w:rsidRPr="00A9702C">
        <w:rPr>
          <w:rFonts w:ascii="Arial" w:hAnsi="Arial" w:cs="Arial"/>
          <w:sz w:val="22"/>
          <w:szCs w:val="22"/>
          <w:lang w:eastAsia="en-US"/>
        </w:rPr>
        <w:t xml:space="preserve"> kapitel 5</w:t>
      </w:r>
      <w:r w:rsidRPr="00A9702C">
        <w:rPr>
          <w:rFonts w:ascii="Arial" w:hAnsi="Arial" w:cs="Arial"/>
          <w:sz w:val="22"/>
          <w:szCs w:val="22"/>
          <w:lang w:eastAsia="en-US"/>
        </w:rPr>
        <w:t xml:space="preserve"> findes en </w:t>
      </w:r>
      <w:r w:rsidR="00756FB5">
        <w:rPr>
          <w:rFonts w:ascii="Arial" w:hAnsi="Arial" w:cs="Arial"/>
          <w:sz w:val="22"/>
          <w:szCs w:val="22"/>
          <w:lang w:eastAsia="en-US"/>
        </w:rPr>
        <w:t xml:space="preserve">kort </w:t>
      </w:r>
      <w:r w:rsidRPr="00A9702C">
        <w:rPr>
          <w:rFonts w:ascii="Arial" w:hAnsi="Arial" w:cs="Arial"/>
          <w:sz w:val="22"/>
          <w:szCs w:val="22"/>
          <w:lang w:eastAsia="en-US"/>
        </w:rPr>
        <w:t>an</w:t>
      </w:r>
      <w:r w:rsidR="00756FB5">
        <w:rPr>
          <w:rFonts w:ascii="Arial" w:hAnsi="Arial" w:cs="Arial"/>
          <w:sz w:val="22"/>
          <w:szCs w:val="22"/>
          <w:lang w:eastAsia="en-US"/>
        </w:rPr>
        <w:t>alyse af befolkningsprognosens</w:t>
      </w:r>
      <w:r w:rsidRPr="00A9702C">
        <w:rPr>
          <w:rFonts w:ascii="Arial" w:hAnsi="Arial" w:cs="Arial"/>
          <w:sz w:val="22"/>
          <w:szCs w:val="22"/>
          <w:lang w:eastAsia="en-US"/>
        </w:rPr>
        <w:t xml:space="preserve"> præcision.</w:t>
      </w:r>
    </w:p>
    <w:p w:rsidR="006D04C4" w:rsidRPr="005D54CB" w:rsidRDefault="006D04C4" w:rsidP="006D04C4"/>
    <w:p w:rsidR="006D04C4" w:rsidRPr="00D30D29" w:rsidRDefault="006D04C4" w:rsidP="006D04C4">
      <w:pPr>
        <w:pStyle w:val="Normal1"/>
        <w:rPr>
          <w:highlight w:val="yellow"/>
        </w:rPr>
      </w:pPr>
    </w:p>
    <w:p w:rsidR="006D04C4" w:rsidRPr="003C2ED5" w:rsidRDefault="006D04C4" w:rsidP="006D04C4">
      <w:pPr>
        <w:pStyle w:val="Normal1"/>
      </w:pPr>
    </w:p>
    <w:p w:rsidR="006D04C4" w:rsidRPr="00636A50" w:rsidRDefault="006D04C4" w:rsidP="006D04C4">
      <w:pPr>
        <w:pStyle w:val="Overskrift1"/>
        <w:keepLines w:val="0"/>
        <w:numPr>
          <w:ilvl w:val="0"/>
          <w:numId w:val="5"/>
        </w:numPr>
        <w:tabs>
          <w:tab w:val="num" w:pos="284"/>
        </w:tabs>
        <w:spacing w:before="240" w:after="60"/>
        <w:ind w:hanging="574"/>
      </w:pPr>
      <w:r w:rsidRPr="00D30D29">
        <w:rPr>
          <w:highlight w:val="yellow"/>
        </w:rPr>
        <w:br w:type="page"/>
      </w:r>
      <w:bookmarkStart w:id="8" w:name="_Toc38355995"/>
      <w:r w:rsidRPr="00636A50">
        <w:lastRenderedPageBreak/>
        <w:t>Historik</w:t>
      </w:r>
      <w:bookmarkEnd w:id="8"/>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I dette kapitel gøres der rede for den historiske befolkningsudvikling i Brøndby Kommune. Herudover sammenlignes udviklingen i Brøndby med udviklingen i en række sammenlignelige kommuner.</w:t>
      </w:r>
    </w:p>
    <w:p w:rsidR="006D04C4" w:rsidRPr="00636A50" w:rsidRDefault="006D04C4" w:rsidP="006D04C4">
      <w:pPr>
        <w:pStyle w:val="Overskrift2"/>
        <w:keepLines w:val="0"/>
        <w:numPr>
          <w:ilvl w:val="1"/>
          <w:numId w:val="5"/>
        </w:numPr>
        <w:spacing w:before="240" w:after="60"/>
        <w:jc w:val="both"/>
      </w:pPr>
      <w:bookmarkStart w:id="9" w:name="_Toc38355996"/>
      <w:r w:rsidRPr="00636A50">
        <w:t>Befolkningens</w:t>
      </w:r>
      <w:r w:rsidR="006E5D30">
        <w:t xml:space="preserve"> faktiske</w:t>
      </w:r>
      <w:r w:rsidRPr="00636A50">
        <w:t xml:space="preserve"> bevægelser i 201</w:t>
      </w:r>
      <w:r w:rsidR="00865473">
        <w:t>9</w:t>
      </w:r>
      <w:bookmarkEnd w:id="9"/>
    </w:p>
    <w:p w:rsidR="006D04C4" w:rsidRPr="00A9702C" w:rsidRDefault="006E5D30" w:rsidP="006D04C4">
      <w:pPr>
        <w:pStyle w:val="Normal1"/>
        <w:rPr>
          <w:rFonts w:ascii="Arial" w:hAnsi="Arial" w:cs="Arial"/>
          <w:sz w:val="22"/>
          <w:szCs w:val="22"/>
          <w:lang w:eastAsia="en-US"/>
        </w:rPr>
      </w:pPr>
      <w:r>
        <w:rPr>
          <w:rFonts w:ascii="Arial" w:hAnsi="Arial" w:cs="Arial"/>
          <w:sz w:val="22"/>
          <w:szCs w:val="22"/>
          <w:lang w:eastAsia="en-US"/>
        </w:rPr>
        <w:t>Den faktiske udvikling i 2019 opsummeres i tabel 2 nedenfor. Her</w:t>
      </w:r>
      <w:r w:rsidR="006D04C4" w:rsidRPr="00A9702C">
        <w:rPr>
          <w:rFonts w:ascii="Arial" w:hAnsi="Arial" w:cs="Arial"/>
          <w:sz w:val="22"/>
          <w:szCs w:val="22"/>
          <w:lang w:eastAsia="en-US"/>
        </w:rPr>
        <w:t xml:space="preserve"> oplevede</w:t>
      </w:r>
      <w:r w:rsidR="00384084">
        <w:rPr>
          <w:rFonts w:ascii="Arial" w:hAnsi="Arial" w:cs="Arial"/>
          <w:sz w:val="22"/>
          <w:szCs w:val="22"/>
          <w:lang w:eastAsia="en-US"/>
        </w:rPr>
        <w:t xml:space="preserve"> Brøndby Kommune  atter</w:t>
      </w:r>
      <w:r w:rsidR="006D04C4" w:rsidRPr="00A9702C">
        <w:rPr>
          <w:rFonts w:ascii="Arial" w:hAnsi="Arial" w:cs="Arial"/>
          <w:sz w:val="22"/>
          <w:szCs w:val="22"/>
          <w:lang w:eastAsia="en-US"/>
        </w:rPr>
        <w:t xml:space="preserve"> en negativ vækst i befolk</w:t>
      </w:r>
      <w:r w:rsidR="004B0125" w:rsidRPr="00A9702C">
        <w:rPr>
          <w:rFonts w:ascii="Arial" w:hAnsi="Arial" w:cs="Arial"/>
          <w:sz w:val="22"/>
          <w:szCs w:val="22"/>
          <w:lang w:eastAsia="en-US"/>
        </w:rPr>
        <w:t>ningstallet</w:t>
      </w:r>
      <w:r w:rsidR="00413D72">
        <w:rPr>
          <w:rFonts w:ascii="Arial" w:hAnsi="Arial" w:cs="Arial"/>
          <w:sz w:val="22"/>
          <w:szCs w:val="22"/>
          <w:lang w:eastAsia="en-US"/>
        </w:rPr>
        <w:t>. Denne gang på 299</w:t>
      </w:r>
      <w:r w:rsidR="006D04C4" w:rsidRPr="00A9702C">
        <w:rPr>
          <w:rFonts w:ascii="Arial" w:hAnsi="Arial" w:cs="Arial"/>
          <w:sz w:val="22"/>
          <w:szCs w:val="22"/>
          <w:lang w:eastAsia="en-US"/>
        </w:rPr>
        <w:t xml:space="preserve"> personer, når der tages højde for korrektioner. Faldet er en bevægelse fra 35.</w:t>
      </w:r>
      <w:r w:rsidR="00413D72">
        <w:rPr>
          <w:rFonts w:ascii="Arial" w:hAnsi="Arial" w:cs="Arial"/>
          <w:sz w:val="22"/>
          <w:szCs w:val="22"/>
          <w:lang w:eastAsia="en-US"/>
        </w:rPr>
        <w:t>393</w:t>
      </w:r>
      <w:r w:rsidR="003C6DAB">
        <w:rPr>
          <w:rFonts w:ascii="Arial" w:hAnsi="Arial" w:cs="Arial"/>
          <w:sz w:val="22"/>
          <w:szCs w:val="22"/>
          <w:lang w:eastAsia="en-US"/>
        </w:rPr>
        <w:t xml:space="preserve"> indbyggere</w:t>
      </w:r>
      <w:r w:rsidR="006D04C4" w:rsidRPr="00A9702C">
        <w:rPr>
          <w:rFonts w:ascii="Arial" w:hAnsi="Arial" w:cs="Arial"/>
          <w:sz w:val="22"/>
          <w:szCs w:val="22"/>
          <w:lang w:eastAsia="en-US"/>
        </w:rPr>
        <w:t xml:space="preserve"> ved årets begyndelse til 35.</w:t>
      </w:r>
      <w:r w:rsidR="00413D72">
        <w:rPr>
          <w:rFonts w:ascii="Arial" w:hAnsi="Arial" w:cs="Arial"/>
          <w:sz w:val="22"/>
          <w:szCs w:val="22"/>
          <w:lang w:eastAsia="en-US"/>
        </w:rPr>
        <w:t>094</w:t>
      </w:r>
      <w:r w:rsidR="003C6DAB">
        <w:rPr>
          <w:rFonts w:ascii="Arial" w:hAnsi="Arial" w:cs="Arial"/>
          <w:sz w:val="22"/>
          <w:szCs w:val="22"/>
          <w:lang w:eastAsia="en-US"/>
        </w:rPr>
        <w:t xml:space="preserve"> indbyggere</w:t>
      </w:r>
      <w:r w:rsidR="006D04C4" w:rsidRPr="00A9702C">
        <w:rPr>
          <w:rFonts w:ascii="Arial" w:hAnsi="Arial" w:cs="Arial"/>
          <w:sz w:val="22"/>
          <w:szCs w:val="22"/>
          <w:lang w:eastAsia="en-US"/>
        </w:rPr>
        <w:t xml:space="preserve"> ved årets udgang, o</w:t>
      </w:r>
      <w:r w:rsidR="00EA4925">
        <w:rPr>
          <w:rFonts w:ascii="Arial" w:hAnsi="Arial" w:cs="Arial"/>
          <w:sz w:val="22"/>
          <w:szCs w:val="22"/>
          <w:lang w:eastAsia="en-US"/>
        </w:rPr>
        <w:t>g svarer til en tilbagegang</w:t>
      </w:r>
      <w:r w:rsidR="006D04C4" w:rsidRPr="00A9702C">
        <w:rPr>
          <w:rFonts w:ascii="Arial" w:hAnsi="Arial" w:cs="Arial"/>
          <w:sz w:val="22"/>
          <w:szCs w:val="22"/>
          <w:lang w:eastAsia="en-US"/>
        </w:rPr>
        <w:t xml:space="preserve"> på </w:t>
      </w:r>
      <w:r w:rsidR="00413D72">
        <w:rPr>
          <w:rFonts w:ascii="Arial" w:hAnsi="Arial" w:cs="Arial"/>
          <w:sz w:val="22"/>
          <w:szCs w:val="22"/>
          <w:lang w:eastAsia="en-US"/>
        </w:rPr>
        <w:t>ca. -0,8</w:t>
      </w:r>
      <w:r w:rsidR="006D04C4" w:rsidRPr="00A9702C">
        <w:rPr>
          <w:rFonts w:ascii="Arial" w:hAnsi="Arial" w:cs="Arial"/>
          <w:sz w:val="22"/>
          <w:szCs w:val="22"/>
          <w:lang w:eastAsia="en-US"/>
        </w:rPr>
        <w:t xml:space="preserve"> pct. </w:t>
      </w:r>
    </w:p>
    <w:p w:rsidR="006D04C4" w:rsidRDefault="006D04C4" w:rsidP="006D04C4">
      <w:pPr>
        <w:pStyle w:val="Billedtekst"/>
        <w:rPr>
          <w:sz w:val="20"/>
        </w:rPr>
      </w:pPr>
    </w:p>
    <w:tbl>
      <w:tblPr>
        <w:tblW w:w="5000" w:type="pct"/>
        <w:tblCellMar>
          <w:left w:w="70" w:type="dxa"/>
          <w:right w:w="70" w:type="dxa"/>
        </w:tblCellMar>
        <w:tblLook w:val="04A0" w:firstRow="1" w:lastRow="0" w:firstColumn="1" w:lastColumn="0" w:noHBand="0" w:noVBand="1"/>
      </w:tblPr>
      <w:tblGrid>
        <w:gridCol w:w="7451"/>
        <w:gridCol w:w="2188"/>
      </w:tblGrid>
      <w:tr w:rsidR="00413D72" w:rsidRPr="003A3F9F" w:rsidTr="003A3F9F">
        <w:trPr>
          <w:trHeight w:val="300"/>
        </w:trPr>
        <w:tc>
          <w:tcPr>
            <w:tcW w:w="5000" w:type="pct"/>
            <w:gridSpan w:val="2"/>
            <w:tcBorders>
              <w:top w:val="nil"/>
              <w:left w:val="nil"/>
              <w:bottom w:val="nil"/>
              <w:right w:val="nil"/>
            </w:tcBorders>
            <w:shd w:val="clear" w:color="auto" w:fill="auto"/>
            <w:noWrap/>
            <w:vAlign w:val="bottom"/>
            <w:hideMark/>
          </w:tcPr>
          <w:p w:rsidR="00413D72" w:rsidRPr="003A3F9F" w:rsidRDefault="00413D72" w:rsidP="00413D72">
            <w:pPr>
              <w:rPr>
                <w:rFonts w:cs="Arial"/>
                <w:b/>
                <w:color w:val="000000"/>
                <w:sz w:val="18"/>
                <w:szCs w:val="18"/>
              </w:rPr>
            </w:pPr>
            <w:r w:rsidRPr="003A3F9F">
              <w:rPr>
                <w:rFonts w:cs="Arial"/>
                <w:b/>
                <w:color w:val="000000"/>
                <w:sz w:val="18"/>
                <w:szCs w:val="18"/>
              </w:rPr>
              <w:t xml:space="preserve">Tabel 2. </w:t>
            </w:r>
            <w:r w:rsidRPr="003A3F9F">
              <w:rPr>
                <w:rFonts w:cs="Arial"/>
                <w:color w:val="000000"/>
                <w:sz w:val="18"/>
                <w:szCs w:val="18"/>
              </w:rPr>
              <w:t xml:space="preserve">Befolkningens </w:t>
            </w:r>
            <w:r w:rsidR="00384084">
              <w:rPr>
                <w:rFonts w:cs="Arial"/>
                <w:color w:val="000000"/>
                <w:sz w:val="18"/>
                <w:szCs w:val="18"/>
              </w:rPr>
              <w:t xml:space="preserve">faktiske </w:t>
            </w:r>
            <w:r w:rsidRPr="003A3F9F">
              <w:rPr>
                <w:rFonts w:cs="Arial"/>
                <w:color w:val="000000"/>
                <w:sz w:val="18"/>
                <w:szCs w:val="18"/>
              </w:rPr>
              <w:t>bevægelser i 2019.</w:t>
            </w:r>
          </w:p>
        </w:tc>
      </w:tr>
      <w:tr w:rsidR="00413D72" w:rsidRPr="003A3F9F" w:rsidTr="003A3F9F">
        <w:trPr>
          <w:trHeight w:val="300"/>
        </w:trPr>
        <w:tc>
          <w:tcPr>
            <w:tcW w:w="3865" w:type="pct"/>
            <w:tcBorders>
              <w:top w:val="single" w:sz="4" w:space="0" w:color="auto"/>
              <w:left w:val="nil"/>
              <w:bottom w:val="single" w:sz="4" w:space="0" w:color="auto"/>
              <w:right w:val="nil"/>
            </w:tcBorders>
            <w:shd w:val="clear" w:color="000000" w:fill="BFBFBF"/>
            <w:noWrap/>
            <w:vAlign w:val="bottom"/>
            <w:hideMark/>
          </w:tcPr>
          <w:p w:rsidR="00413D72" w:rsidRPr="003A3F9F" w:rsidRDefault="00413D72" w:rsidP="00413D72">
            <w:pPr>
              <w:rPr>
                <w:rFonts w:cs="Arial"/>
                <w:b/>
                <w:bCs/>
                <w:color w:val="000000"/>
                <w:sz w:val="18"/>
                <w:szCs w:val="18"/>
              </w:rPr>
            </w:pPr>
            <w:r w:rsidRPr="003A3F9F">
              <w:rPr>
                <w:rFonts w:cs="Arial"/>
                <w:b/>
                <w:bCs/>
                <w:color w:val="000000"/>
                <w:sz w:val="18"/>
                <w:szCs w:val="18"/>
              </w:rPr>
              <w:t>Folketal primo 2019</w:t>
            </w:r>
          </w:p>
        </w:tc>
        <w:tc>
          <w:tcPr>
            <w:tcW w:w="1135" w:type="pct"/>
            <w:tcBorders>
              <w:top w:val="single" w:sz="4" w:space="0" w:color="auto"/>
              <w:left w:val="nil"/>
              <w:bottom w:val="single" w:sz="4" w:space="0" w:color="auto"/>
              <w:right w:val="nil"/>
            </w:tcBorders>
            <w:shd w:val="clear" w:color="000000" w:fill="BFBFBF"/>
            <w:noWrap/>
            <w:vAlign w:val="bottom"/>
            <w:hideMark/>
          </w:tcPr>
          <w:p w:rsidR="00413D72" w:rsidRPr="003A3F9F" w:rsidRDefault="00413D72" w:rsidP="00413D72">
            <w:pPr>
              <w:jc w:val="right"/>
              <w:rPr>
                <w:rFonts w:cs="Arial"/>
                <w:b/>
                <w:bCs/>
                <w:color w:val="000000"/>
                <w:sz w:val="18"/>
                <w:szCs w:val="18"/>
              </w:rPr>
            </w:pPr>
            <w:r w:rsidRPr="003A3F9F">
              <w:rPr>
                <w:rFonts w:cs="Arial"/>
                <w:b/>
                <w:bCs/>
                <w:color w:val="000000"/>
                <w:sz w:val="18"/>
                <w:szCs w:val="18"/>
              </w:rPr>
              <w:t>35.393</w:t>
            </w:r>
          </w:p>
        </w:tc>
      </w:tr>
      <w:tr w:rsidR="00413D72" w:rsidRPr="003A3F9F" w:rsidTr="003A3F9F">
        <w:trPr>
          <w:trHeight w:val="300"/>
        </w:trPr>
        <w:tc>
          <w:tcPr>
            <w:tcW w:w="3865" w:type="pct"/>
            <w:tcBorders>
              <w:top w:val="nil"/>
              <w:left w:val="nil"/>
              <w:bottom w:val="nil"/>
              <w:right w:val="nil"/>
            </w:tcBorders>
            <w:shd w:val="clear" w:color="auto" w:fill="auto"/>
            <w:noWrap/>
            <w:vAlign w:val="bottom"/>
            <w:hideMark/>
          </w:tcPr>
          <w:p w:rsidR="00413D72" w:rsidRPr="003A3F9F" w:rsidRDefault="00413D72" w:rsidP="00413D72">
            <w:pPr>
              <w:rPr>
                <w:rFonts w:cs="Arial"/>
                <w:color w:val="000000"/>
                <w:sz w:val="18"/>
                <w:szCs w:val="18"/>
              </w:rPr>
            </w:pPr>
            <w:r w:rsidRPr="003A3F9F">
              <w:rPr>
                <w:rFonts w:cs="Arial"/>
                <w:color w:val="000000"/>
                <w:sz w:val="18"/>
                <w:szCs w:val="18"/>
              </w:rPr>
              <w:t>Fødte</w:t>
            </w:r>
          </w:p>
        </w:tc>
        <w:tc>
          <w:tcPr>
            <w:tcW w:w="1135" w:type="pct"/>
            <w:tcBorders>
              <w:top w:val="nil"/>
              <w:left w:val="nil"/>
              <w:bottom w:val="nil"/>
              <w:right w:val="nil"/>
            </w:tcBorders>
            <w:shd w:val="clear" w:color="auto" w:fill="auto"/>
            <w:noWrap/>
            <w:vAlign w:val="bottom"/>
            <w:hideMark/>
          </w:tcPr>
          <w:p w:rsidR="00413D72" w:rsidRPr="003A3F9F" w:rsidRDefault="00413D72" w:rsidP="00413D72">
            <w:pPr>
              <w:jc w:val="right"/>
              <w:rPr>
                <w:rFonts w:cs="Arial"/>
                <w:color w:val="000000"/>
                <w:sz w:val="18"/>
                <w:szCs w:val="18"/>
              </w:rPr>
            </w:pPr>
            <w:r w:rsidRPr="003A3F9F">
              <w:rPr>
                <w:rFonts w:cs="Arial"/>
                <w:color w:val="000000"/>
                <w:sz w:val="18"/>
                <w:szCs w:val="18"/>
              </w:rPr>
              <w:t>396</w:t>
            </w:r>
          </w:p>
        </w:tc>
      </w:tr>
      <w:tr w:rsidR="00413D72" w:rsidRPr="003A3F9F" w:rsidTr="003A3F9F">
        <w:trPr>
          <w:trHeight w:val="300"/>
        </w:trPr>
        <w:tc>
          <w:tcPr>
            <w:tcW w:w="3865" w:type="pct"/>
            <w:tcBorders>
              <w:top w:val="nil"/>
              <w:left w:val="nil"/>
              <w:bottom w:val="nil"/>
              <w:right w:val="nil"/>
            </w:tcBorders>
            <w:shd w:val="clear" w:color="auto" w:fill="auto"/>
            <w:noWrap/>
            <w:vAlign w:val="bottom"/>
            <w:hideMark/>
          </w:tcPr>
          <w:p w:rsidR="00413D72" w:rsidRPr="003A3F9F" w:rsidRDefault="00413D72" w:rsidP="00413D72">
            <w:pPr>
              <w:rPr>
                <w:rFonts w:cs="Arial"/>
                <w:color w:val="000000"/>
                <w:sz w:val="18"/>
                <w:szCs w:val="18"/>
              </w:rPr>
            </w:pPr>
            <w:r w:rsidRPr="003A3F9F">
              <w:rPr>
                <w:rFonts w:cs="Arial"/>
                <w:color w:val="000000"/>
                <w:sz w:val="18"/>
                <w:szCs w:val="18"/>
              </w:rPr>
              <w:t>Døde</w:t>
            </w:r>
          </w:p>
        </w:tc>
        <w:tc>
          <w:tcPr>
            <w:tcW w:w="1135" w:type="pct"/>
            <w:tcBorders>
              <w:top w:val="nil"/>
              <w:left w:val="nil"/>
              <w:bottom w:val="nil"/>
              <w:right w:val="nil"/>
            </w:tcBorders>
            <w:shd w:val="clear" w:color="auto" w:fill="auto"/>
            <w:noWrap/>
            <w:vAlign w:val="bottom"/>
            <w:hideMark/>
          </w:tcPr>
          <w:p w:rsidR="00413D72" w:rsidRPr="003A3F9F" w:rsidRDefault="00413D72" w:rsidP="00413D72">
            <w:pPr>
              <w:jc w:val="right"/>
              <w:rPr>
                <w:rFonts w:cs="Arial"/>
                <w:color w:val="000000"/>
                <w:sz w:val="18"/>
                <w:szCs w:val="18"/>
              </w:rPr>
            </w:pPr>
            <w:r w:rsidRPr="003A3F9F">
              <w:rPr>
                <w:rFonts w:cs="Arial"/>
                <w:color w:val="000000"/>
                <w:sz w:val="18"/>
                <w:szCs w:val="18"/>
              </w:rPr>
              <w:t>392</w:t>
            </w:r>
          </w:p>
        </w:tc>
      </w:tr>
      <w:tr w:rsidR="00413D72" w:rsidRPr="003A3F9F" w:rsidTr="003A3F9F">
        <w:trPr>
          <w:trHeight w:val="300"/>
        </w:trPr>
        <w:tc>
          <w:tcPr>
            <w:tcW w:w="3865" w:type="pct"/>
            <w:tcBorders>
              <w:top w:val="nil"/>
              <w:left w:val="nil"/>
              <w:bottom w:val="single" w:sz="4" w:space="0" w:color="auto"/>
              <w:right w:val="nil"/>
            </w:tcBorders>
            <w:shd w:val="clear" w:color="auto" w:fill="auto"/>
            <w:noWrap/>
            <w:vAlign w:val="bottom"/>
            <w:hideMark/>
          </w:tcPr>
          <w:p w:rsidR="00413D72" w:rsidRPr="003A3F9F" w:rsidRDefault="00413D72" w:rsidP="00413D72">
            <w:pPr>
              <w:rPr>
                <w:rFonts w:cs="Arial"/>
                <w:b/>
                <w:bCs/>
                <w:i/>
                <w:iCs/>
                <w:color w:val="000000"/>
                <w:sz w:val="18"/>
                <w:szCs w:val="18"/>
              </w:rPr>
            </w:pPr>
            <w:r w:rsidRPr="003A3F9F">
              <w:rPr>
                <w:rFonts w:cs="Arial"/>
                <w:b/>
                <w:bCs/>
                <w:i/>
                <w:iCs/>
                <w:color w:val="000000"/>
                <w:sz w:val="18"/>
                <w:szCs w:val="18"/>
              </w:rPr>
              <w:t>Fødselsoverskud</w:t>
            </w:r>
          </w:p>
        </w:tc>
        <w:tc>
          <w:tcPr>
            <w:tcW w:w="1135" w:type="pct"/>
            <w:tcBorders>
              <w:top w:val="nil"/>
              <w:left w:val="nil"/>
              <w:bottom w:val="single" w:sz="4" w:space="0" w:color="auto"/>
              <w:right w:val="nil"/>
            </w:tcBorders>
            <w:shd w:val="clear" w:color="auto" w:fill="auto"/>
            <w:noWrap/>
            <w:vAlign w:val="bottom"/>
            <w:hideMark/>
          </w:tcPr>
          <w:p w:rsidR="00413D72" w:rsidRPr="003A3F9F" w:rsidRDefault="00413D72" w:rsidP="00413D72">
            <w:pPr>
              <w:jc w:val="right"/>
              <w:rPr>
                <w:rFonts w:cs="Arial"/>
                <w:b/>
                <w:bCs/>
                <w:color w:val="000000"/>
                <w:sz w:val="18"/>
                <w:szCs w:val="18"/>
              </w:rPr>
            </w:pPr>
            <w:r w:rsidRPr="003A3F9F">
              <w:rPr>
                <w:rFonts w:cs="Arial"/>
                <w:b/>
                <w:bCs/>
                <w:color w:val="000000"/>
                <w:sz w:val="18"/>
                <w:szCs w:val="18"/>
              </w:rPr>
              <w:t>4</w:t>
            </w:r>
          </w:p>
        </w:tc>
      </w:tr>
      <w:tr w:rsidR="00413D72" w:rsidRPr="003A3F9F" w:rsidTr="003A3F9F">
        <w:trPr>
          <w:trHeight w:val="300"/>
        </w:trPr>
        <w:tc>
          <w:tcPr>
            <w:tcW w:w="3865" w:type="pct"/>
            <w:tcBorders>
              <w:top w:val="nil"/>
              <w:left w:val="nil"/>
              <w:bottom w:val="nil"/>
              <w:right w:val="nil"/>
            </w:tcBorders>
            <w:shd w:val="clear" w:color="auto" w:fill="auto"/>
            <w:noWrap/>
            <w:vAlign w:val="bottom"/>
            <w:hideMark/>
          </w:tcPr>
          <w:p w:rsidR="00413D72" w:rsidRPr="003A3F9F" w:rsidRDefault="00413D72" w:rsidP="00413D72">
            <w:pPr>
              <w:rPr>
                <w:rFonts w:cs="Arial"/>
                <w:color w:val="000000"/>
                <w:sz w:val="18"/>
                <w:szCs w:val="18"/>
              </w:rPr>
            </w:pPr>
            <w:r w:rsidRPr="003A3F9F">
              <w:rPr>
                <w:rFonts w:cs="Arial"/>
                <w:color w:val="000000"/>
                <w:sz w:val="18"/>
                <w:szCs w:val="18"/>
              </w:rPr>
              <w:t>Tilflyttere, indland</w:t>
            </w:r>
          </w:p>
        </w:tc>
        <w:tc>
          <w:tcPr>
            <w:tcW w:w="1135" w:type="pct"/>
            <w:tcBorders>
              <w:top w:val="nil"/>
              <w:left w:val="nil"/>
              <w:bottom w:val="nil"/>
              <w:right w:val="nil"/>
            </w:tcBorders>
            <w:shd w:val="clear" w:color="auto" w:fill="auto"/>
            <w:noWrap/>
            <w:vAlign w:val="bottom"/>
            <w:hideMark/>
          </w:tcPr>
          <w:p w:rsidR="00413D72" w:rsidRPr="003A3F9F" w:rsidRDefault="00413D72" w:rsidP="00413D72">
            <w:pPr>
              <w:jc w:val="right"/>
              <w:rPr>
                <w:rFonts w:cs="Arial"/>
                <w:color w:val="000000"/>
                <w:sz w:val="18"/>
                <w:szCs w:val="18"/>
              </w:rPr>
            </w:pPr>
            <w:r w:rsidRPr="003A3F9F">
              <w:rPr>
                <w:rFonts w:cs="Arial"/>
                <w:color w:val="000000"/>
                <w:sz w:val="18"/>
                <w:szCs w:val="18"/>
              </w:rPr>
              <w:t>2.271</w:t>
            </w:r>
          </w:p>
        </w:tc>
      </w:tr>
      <w:tr w:rsidR="00413D72" w:rsidRPr="003A3F9F" w:rsidTr="003A3F9F">
        <w:trPr>
          <w:trHeight w:val="300"/>
        </w:trPr>
        <w:tc>
          <w:tcPr>
            <w:tcW w:w="3865" w:type="pct"/>
            <w:tcBorders>
              <w:top w:val="nil"/>
              <w:left w:val="nil"/>
              <w:bottom w:val="nil"/>
              <w:right w:val="nil"/>
            </w:tcBorders>
            <w:shd w:val="clear" w:color="auto" w:fill="auto"/>
            <w:noWrap/>
            <w:vAlign w:val="bottom"/>
            <w:hideMark/>
          </w:tcPr>
          <w:p w:rsidR="00413D72" w:rsidRPr="003A3F9F" w:rsidRDefault="00413D72" w:rsidP="00413D72">
            <w:pPr>
              <w:rPr>
                <w:rFonts w:cs="Arial"/>
                <w:color w:val="000000"/>
                <w:sz w:val="18"/>
                <w:szCs w:val="18"/>
              </w:rPr>
            </w:pPr>
            <w:r w:rsidRPr="003A3F9F">
              <w:rPr>
                <w:rFonts w:cs="Arial"/>
                <w:color w:val="000000"/>
                <w:sz w:val="18"/>
                <w:szCs w:val="18"/>
              </w:rPr>
              <w:t>Fraflyttere, indland</w:t>
            </w:r>
          </w:p>
        </w:tc>
        <w:tc>
          <w:tcPr>
            <w:tcW w:w="1135" w:type="pct"/>
            <w:tcBorders>
              <w:top w:val="nil"/>
              <w:left w:val="nil"/>
              <w:bottom w:val="nil"/>
              <w:right w:val="nil"/>
            </w:tcBorders>
            <w:shd w:val="clear" w:color="auto" w:fill="auto"/>
            <w:noWrap/>
            <w:vAlign w:val="bottom"/>
            <w:hideMark/>
          </w:tcPr>
          <w:p w:rsidR="00413D72" w:rsidRPr="003A3F9F" w:rsidRDefault="00413D72" w:rsidP="00413D72">
            <w:pPr>
              <w:jc w:val="right"/>
              <w:rPr>
                <w:rFonts w:cs="Arial"/>
                <w:color w:val="000000"/>
                <w:sz w:val="18"/>
                <w:szCs w:val="18"/>
              </w:rPr>
            </w:pPr>
            <w:r w:rsidRPr="003A3F9F">
              <w:rPr>
                <w:rFonts w:cs="Arial"/>
                <w:color w:val="000000"/>
                <w:sz w:val="18"/>
                <w:szCs w:val="18"/>
              </w:rPr>
              <w:t>2.677</w:t>
            </w:r>
          </w:p>
        </w:tc>
      </w:tr>
      <w:tr w:rsidR="00413D72" w:rsidRPr="003A3F9F" w:rsidTr="003A3F9F">
        <w:trPr>
          <w:trHeight w:val="300"/>
        </w:trPr>
        <w:tc>
          <w:tcPr>
            <w:tcW w:w="3865" w:type="pct"/>
            <w:tcBorders>
              <w:top w:val="nil"/>
              <w:left w:val="nil"/>
              <w:bottom w:val="single" w:sz="4" w:space="0" w:color="auto"/>
              <w:right w:val="nil"/>
            </w:tcBorders>
            <w:shd w:val="clear" w:color="auto" w:fill="auto"/>
            <w:noWrap/>
            <w:vAlign w:val="bottom"/>
            <w:hideMark/>
          </w:tcPr>
          <w:p w:rsidR="00413D72" w:rsidRPr="003A3F9F" w:rsidRDefault="00413D72" w:rsidP="00413D72">
            <w:pPr>
              <w:rPr>
                <w:rFonts w:cs="Arial"/>
                <w:b/>
                <w:bCs/>
                <w:i/>
                <w:iCs/>
                <w:color w:val="000000"/>
                <w:sz w:val="18"/>
                <w:szCs w:val="18"/>
              </w:rPr>
            </w:pPr>
            <w:r w:rsidRPr="003A3F9F">
              <w:rPr>
                <w:rFonts w:cs="Arial"/>
                <w:b/>
                <w:bCs/>
                <w:i/>
                <w:iCs/>
                <w:color w:val="000000"/>
                <w:sz w:val="18"/>
                <w:szCs w:val="18"/>
              </w:rPr>
              <w:t>Nettotilflyttere, indland</w:t>
            </w:r>
          </w:p>
        </w:tc>
        <w:tc>
          <w:tcPr>
            <w:tcW w:w="1135" w:type="pct"/>
            <w:tcBorders>
              <w:top w:val="nil"/>
              <w:left w:val="nil"/>
              <w:bottom w:val="single" w:sz="4" w:space="0" w:color="auto"/>
              <w:right w:val="nil"/>
            </w:tcBorders>
            <w:shd w:val="clear" w:color="auto" w:fill="auto"/>
            <w:noWrap/>
            <w:vAlign w:val="bottom"/>
            <w:hideMark/>
          </w:tcPr>
          <w:p w:rsidR="00413D72" w:rsidRPr="003A3F9F" w:rsidRDefault="00413D72" w:rsidP="00413D72">
            <w:pPr>
              <w:jc w:val="right"/>
              <w:rPr>
                <w:rFonts w:cs="Arial"/>
                <w:b/>
                <w:bCs/>
                <w:color w:val="000000"/>
                <w:sz w:val="18"/>
                <w:szCs w:val="18"/>
              </w:rPr>
            </w:pPr>
            <w:r w:rsidRPr="003A3F9F">
              <w:rPr>
                <w:rFonts w:cs="Arial"/>
                <w:b/>
                <w:bCs/>
                <w:color w:val="000000"/>
                <w:sz w:val="18"/>
                <w:szCs w:val="18"/>
              </w:rPr>
              <w:t>-406</w:t>
            </w:r>
          </w:p>
        </w:tc>
      </w:tr>
      <w:tr w:rsidR="00413D72" w:rsidRPr="003A3F9F" w:rsidTr="003A3F9F">
        <w:trPr>
          <w:trHeight w:val="300"/>
        </w:trPr>
        <w:tc>
          <w:tcPr>
            <w:tcW w:w="3865" w:type="pct"/>
            <w:tcBorders>
              <w:top w:val="nil"/>
              <w:left w:val="nil"/>
              <w:bottom w:val="nil"/>
              <w:right w:val="nil"/>
            </w:tcBorders>
            <w:shd w:val="clear" w:color="auto" w:fill="auto"/>
            <w:noWrap/>
            <w:vAlign w:val="bottom"/>
            <w:hideMark/>
          </w:tcPr>
          <w:p w:rsidR="00413D72" w:rsidRPr="003A3F9F" w:rsidRDefault="00413D72" w:rsidP="00413D72">
            <w:pPr>
              <w:rPr>
                <w:rFonts w:cs="Arial"/>
                <w:color w:val="000000"/>
                <w:sz w:val="18"/>
                <w:szCs w:val="18"/>
              </w:rPr>
            </w:pPr>
            <w:r w:rsidRPr="003A3F9F">
              <w:rPr>
                <w:rFonts w:cs="Arial"/>
                <w:color w:val="000000"/>
                <w:sz w:val="18"/>
                <w:szCs w:val="18"/>
              </w:rPr>
              <w:t>Tilflyttere, udland</w:t>
            </w:r>
          </w:p>
        </w:tc>
        <w:tc>
          <w:tcPr>
            <w:tcW w:w="1135" w:type="pct"/>
            <w:tcBorders>
              <w:top w:val="nil"/>
              <w:left w:val="nil"/>
              <w:bottom w:val="nil"/>
              <w:right w:val="nil"/>
            </w:tcBorders>
            <w:shd w:val="clear" w:color="auto" w:fill="auto"/>
            <w:noWrap/>
            <w:vAlign w:val="bottom"/>
            <w:hideMark/>
          </w:tcPr>
          <w:p w:rsidR="00413D72" w:rsidRPr="003A3F9F" w:rsidRDefault="00413D72" w:rsidP="00413D72">
            <w:pPr>
              <w:jc w:val="right"/>
              <w:rPr>
                <w:rFonts w:cs="Arial"/>
                <w:color w:val="000000"/>
                <w:sz w:val="18"/>
                <w:szCs w:val="18"/>
              </w:rPr>
            </w:pPr>
            <w:r w:rsidRPr="003A3F9F">
              <w:rPr>
                <w:rFonts w:cs="Arial"/>
                <w:color w:val="000000"/>
                <w:sz w:val="18"/>
                <w:szCs w:val="18"/>
              </w:rPr>
              <w:t>467</w:t>
            </w:r>
          </w:p>
        </w:tc>
      </w:tr>
      <w:tr w:rsidR="00413D72" w:rsidRPr="003A3F9F" w:rsidTr="003A3F9F">
        <w:trPr>
          <w:trHeight w:val="300"/>
        </w:trPr>
        <w:tc>
          <w:tcPr>
            <w:tcW w:w="3865" w:type="pct"/>
            <w:tcBorders>
              <w:top w:val="nil"/>
              <w:left w:val="nil"/>
              <w:bottom w:val="nil"/>
              <w:right w:val="nil"/>
            </w:tcBorders>
            <w:shd w:val="clear" w:color="auto" w:fill="auto"/>
            <w:noWrap/>
            <w:vAlign w:val="bottom"/>
            <w:hideMark/>
          </w:tcPr>
          <w:p w:rsidR="00413D72" w:rsidRPr="003A3F9F" w:rsidRDefault="00413D72" w:rsidP="00413D72">
            <w:pPr>
              <w:rPr>
                <w:rFonts w:cs="Arial"/>
                <w:color w:val="000000"/>
                <w:sz w:val="18"/>
                <w:szCs w:val="18"/>
              </w:rPr>
            </w:pPr>
            <w:r w:rsidRPr="003A3F9F">
              <w:rPr>
                <w:rFonts w:cs="Arial"/>
                <w:color w:val="000000"/>
                <w:sz w:val="18"/>
                <w:szCs w:val="18"/>
              </w:rPr>
              <w:t>Fraflyttere, udland</w:t>
            </w:r>
          </w:p>
        </w:tc>
        <w:tc>
          <w:tcPr>
            <w:tcW w:w="1135" w:type="pct"/>
            <w:tcBorders>
              <w:top w:val="nil"/>
              <w:left w:val="nil"/>
              <w:bottom w:val="nil"/>
              <w:right w:val="nil"/>
            </w:tcBorders>
            <w:shd w:val="clear" w:color="auto" w:fill="auto"/>
            <w:noWrap/>
            <w:vAlign w:val="bottom"/>
            <w:hideMark/>
          </w:tcPr>
          <w:p w:rsidR="00413D72" w:rsidRPr="003A3F9F" w:rsidRDefault="00413D72" w:rsidP="00413D72">
            <w:pPr>
              <w:jc w:val="right"/>
              <w:rPr>
                <w:rFonts w:cs="Arial"/>
                <w:color w:val="000000"/>
                <w:sz w:val="18"/>
                <w:szCs w:val="18"/>
              </w:rPr>
            </w:pPr>
            <w:r w:rsidRPr="003A3F9F">
              <w:rPr>
                <w:rFonts w:cs="Arial"/>
                <w:color w:val="000000"/>
                <w:sz w:val="18"/>
                <w:szCs w:val="18"/>
              </w:rPr>
              <w:t>358</w:t>
            </w:r>
          </w:p>
        </w:tc>
      </w:tr>
      <w:tr w:rsidR="00413D72" w:rsidRPr="003A3F9F" w:rsidTr="003A3F9F">
        <w:trPr>
          <w:trHeight w:val="300"/>
        </w:trPr>
        <w:tc>
          <w:tcPr>
            <w:tcW w:w="3865" w:type="pct"/>
            <w:tcBorders>
              <w:top w:val="nil"/>
              <w:left w:val="nil"/>
              <w:bottom w:val="single" w:sz="4" w:space="0" w:color="auto"/>
              <w:right w:val="nil"/>
            </w:tcBorders>
            <w:shd w:val="clear" w:color="auto" w:fill="auto"/>
            <w:noWrap/>
            <w:vAlign w:val="bottom"/>
            <w:hideMark/>
          </w:tcPr>
          <w:p w:rsidR="00413D72" w:rsidRPr="003A3F9F" w:rsidRDefault="00413D72" w:rsidP="00413D72">
            <w:pPr>
              <w:rPr>
                <w:rFonts w:cs="Arial"/>
                <w:b/>
                <w:bCs/>
                <w:i/>
                <w:iCs/>
                <w:color w:val="000000"/>
                <w:sz w:val="18"/>
                <w:szCs w:val="18"/>
              </w:rPr>
            </w:pPr>
            <w:r w:rsidRPr="003A3F9F">
              <w:rPr>
                <w:rFonts w:cs="Arial"/>
                <w:b/>
                <w:bCs/>
                <w:i/>
                <w:iCs/>
                <w:color w:val="000000"/>
                <w:sz w:val="18"/>
                <w:szCs w:val="18"/>
              </w:rPr>
              <w:t>Nettotilflyttere, udland</w:t>
            </w:r>
          </w:p>
        </w:tc>
        <w:tc>
          <w:tcPr>
            <w:tcW w:w="1135" w:type="pct"/>
            <w:tcBorders>
              <w:top w:val="nil"/>
              <w:left w:val="nil"/>
              <w:bottom w:val="single" w:sz="4" w:space="0" w:color="auto"/>
              <w:right w:val="nil"/>
            </w:tcBorders>
            <w:shd w:val="clear" w:color="auto" w:fill="auto"/>
            <w:noWrap/>
            <w:vAlign w:val="bottom"/>
            <w:hideMark/>
          </w:tcPr>
          <w:p w:rsidR="00413D72" w:rsidRPr="003A3F9F" w:rsidRDefault="00413D72" w:rsidP="00413D72">
            <w:pPr>
              <w:jc w:val="right"/>
              <w:rPr>
                <w:rFonts w:cs="Arial"/>
                <w:b/>
                <w:bCs/>
                <w:color w:val="000000"/>
                <w:sz w:val="18"/>
                <w:szCs w:val="18"/>
              </w:rPr>
            </w:pPr>
            <w:r w:rsidRPr="003A3F9F">
              <w:rPr>
                <w:rFonts w:cs="Arial"/>
                <w:b/>
                <w:bCs/>
                <w:color w:val="000000"/>
                <w:sz w:val="18"/>
                <w:szCs w:val="18"/>
              </w:rPr>
              <w:t>109</w:t>
            </w:r>
          </w:p>
        </w:tc>
      </w:tr>
      <w:tr w:rsidR="00413D72" w:rsidRPr="003A3F9F" w:rsidTr="003A3F9F">
        <w:trPr>
          <w:trHeight w:val="300"/>
        </w:trPr>
        <w:tc>
          <w:tcPr>
            <w:tcW w:w="3865" w:type="pct"/>
            <w:tcBorders>
              <w:top w:val="nil"/>
              <w:left w:val="nil"/>
              <w:bottom w:val="single" w:sz="4" w:space="0" w:color="auto"/>
              <w:right w:val="nil"/>
            </w:tcBorders>
            <w:shd w:val="clear" w:color="auto" w:fill="auto"/>
            <w:noWrap/>
            <w:vAlign w:val="bottom"/>
            <w:hideMark/>
          </w:tcPr>
          <w:p w:rsidR="00413D72" w:rsidRPr="003A3F9F" w:rsidRDefault="00413D72" w:rsidP="00413D72">
            <w:pPr>
              <w:rPr>
                <w:rFonts w:cs="Arial"/>
                <w:b/>
                <w:bCs/>
                <w:i/>
                <w:iCs/>
                <w:color w:val="000000"/>
                <w:sz w:val="18"/>
                <w:szCs w:val="18"/>
              </w:rPr>
            </w:pPr>
            <w:r w:rsidRPr="003A3F9F">
              <w:rPr>
                <w:rFonts w:cs="Arial"/>
                <w:b/>
                <w:bCs/>
                <w:i/>
                <w:iCs/>
                <w:color w:val="000000"/>
                <w:sz w:val="18"/>
                <w:szCs w:val="18"/>
              </w:rPr>
              <w:t>Korrektioner*</w:t>
            </w:r>
          </w:p>
        </w:tc>
        <w:tc>
          <w:tcPr>
            <w:tcW w:w="1135" w:type="pct"/>
            <w:tcBorders>
              <w:top w:val="nil"/>
              <w:left w:val="nil"/>
              <w:bottom w:val="single" w:sz="4" w:space="0" w:color="auto"/>
              <w:right w:val="nil"/>
            </w:tcBorders>
            <w:shd w:val="clear" w:color="auto" w:fill="auto"/>
            <w:noWrap/>
            <w:vAlign w:val="bottom"/>
            <w:hideMark/>
          </w:tcPr>
          <w:p w:rsidR="00413D72" w:rsidRPr="003A3F9F" w:rsidRDefault="00413D72" w:rsidP="00413D72">
            <w:pPr>
              <w:jc w:val="right"/>
              <w:rPr>
                <w:rFonts w:cs="Arial"/>
                <w:b/>
                <w:bCs/>
                <w:color w:val="000000"/>
                <w:sz w:val="18"/>
                <w:szCs w:val="18"/>
              </w:rPr>
            </w:pPr>
            <w:r w:rsidRPr="003A3F9F">
              <w:rPr>
                <w:rFonts w:cs="Arial"/>
                <w:b/>
                <w:bCs/>
                <w:color w:val="000000"/>
                <w:sz w:val="18"/>
                <w:szCs w:val="18"/>
              </w:rPr>
              <w:t>-6</w:t>
            </w:r>
          </w:p>
        </w:tc>
      </w:tr>
      <w:tr w:rsidR="00413D72" w:rsidRPr="003A3F9F" w:rsidTr="003A3F9F">
        <w:trPr>
          <w:trHeight w:val="300"/>
        </w:trPr>
        <w:tc>
          <w:tcPr>
            <w:tcW w:w="3865" w:type="pct"/>
            <w:tcBorders>
              <w:top w:val="nil"/>
              <w:left w:val="nil"/>
              <w:bottom w:val="nil"/>
              <w:right w:val="nil"/>
            </w:tcBorders>
            <w:shd w:val="clear" w:color="auto" w:fill="auto"/>
            <w:noWrap/>
            <w:vAlign w:val="bottom"/>
            <w:hideMark/>
          </w:tcPr>
          <w:p w:rsidR="00413D72" w:rsidRPr="003A3F9F" w:rsidRDefault="00413D72" w:rsidP="00413D72">
            <w:pPr>
              <w:rPr>
                <w:rFonts w:cs="Arial"/>
                <w:b/>
                <w:bCs/>
                <w:color w:val="000000"/>
                <w:sz w:val="18"/>
                <w:szCs w:val="18"/>
              </w:rPr>
            </w:pPr>
            <w:r w:rsidRPr="003A3F9F">
              <w:rPr>
                <w:rFonts w:cs="Arial"/>
                <w:b/>
                <w:bCs/>
                <w:color w:val="000000"/>
                <w:sz w:val="18"/>
                <w:szCs w:val="18"/>
              </w:rPr>
              <w:t>Samlet nettotilgang</w:t>
            </w:r>
          </w:p>
        </w:tc>
        <w:tc>
          <w:tcPr>
            <w:tcW w:w="1135" w:type="pct"/>
            <w:tcBorders>
              <w:top w:val="nil"/>
              <w:left w:val="nil"/>
              <w:bottom w:val="nil"/>
              <w:right w:val="nil"/>
            </w:tcBorders>
            <w:shd w:val="clear" w:color="auto" w:fill="auto"/>
            <w:noWrap/>
            <w:vAlign w:val="bottom"/>
            <w:hideMark/>
          </w:tcPr>
          <w:p w:rsidR="00413D72" w:rsidRPr="003A3F9F" w:rsidRDefault="00413D72" w:rsidP="00413D72">
            <w:pPr>
              <w:jc w:val="right"/>
              <w:rPr>
                <w:rFonts w:cs="Arial"/>
                <w:b/>
                <w:bCs/>
                <w:color w:val="000000"/>
                <w:sz w:val="18"/>
                <w:szCs w:val="18"/>
              </w:rPr>
            </w:pPr>
            <w:r w:rsidRPr="003A3F9F">
              <w:rPr>
                <w:rFonts w:cs="Arial"/>
                <w:b/>
                <w:bCs/>
                <w:color w:val="000000"/>
                <w:sz w:val="18"/>
                <w:szCs w:val="18"/>
              </w:rPr>
              <w:t>-299</w:t>
            </w:r>
          </w:p>
        </w:tc>
      </w:tr>
      <w:tr w:rsidR="00413D72" w:rsidRPr="003A3F9F" w:rsidTr="003A3F9F">
        <w:trPr>
          <w:trHeight w:val="315"/>
        </w:trPr>
        <w:tc>
          <w:tcPr>
            <w:tcW w:w="3865" w:type="pct"/>
            <w:tcBorders>
              <w:top w:val="single" w:sz="4" w:space="0" w:color="auto"/>
              <w:left w:val="nil"/>
              <w:bottom w:val="single" w:sz="8" w:space="0" w:color="auto"/>
              <w:right w:val="nil"/>
            </w:tcBorders>
            <w:shd w:val="clear" w:color="000000" w:fill="BFBFBF"/>
            <w:noWrap/>
            <w:vAlign w:val="bottom"/>
            <w:hideMark/>
          </w:tcPr>
          <w:p w:rsidR="00413D72" w:rsidRPr="003A3F9F" w:rsidRDefault="00413D72" w:rsidP="00413D72">
            <w:pPr>
              <w:rPr>
                <w:rFonts w:cs="Arial"/>
                <w:b/>
                <w:bCs/>
                <w:color w:val="000000"/>
                <w:sz w:val="18"/>
                <w:szCs w:val="18"/>
              </w:rPr>
            </w:pPr>
            <w:r w:rsidRPr="003A3F9F">
              <w:rPr>
                <w:rFonts w:cs="Arial"/>
                <w:b/>
                <w:bCs/>
                <w:color w:val="000000"/>
                <w:sz w:val="18"/>
                <w:szCs w:val="18"/>
              </w:rPr>
              <w:t>Folketal ultimo 2019</w:t>
            </w:r>
          </w:p>
        </w:tc>
        <w:tc>
          <w:tcPr>
            <w:tcW w:w="1135" w:type="pct"/>
            <w:tcBorders>
              <w:top w:val="single" w:sz="4" w:space="0" w:color="auto"/>
              <w:left w:val="nil"/>
              <w:bottom w:val="single" w:sz="8" w:space="0" w:color="auto"/>
              <w:right w:val="nil"/>
            </w:tcBorders>
            <w:shd w:val="clear" w:color="000000" w:fill="BFBFBF"/>
            <w:noWrap/>
            <w:vAlign w:val="bottom"/>
            <w:hideMark/>
          </w:tcPr>
          <w:p w:rsidR="00413D72" w:rsidRPr="003A3F9F" w:rsidRDefault="00413D72" w:rsidP="00413D72">
            <w:pPr>
              <w:jc w:val="right"/>
              <w:rPr>
                <w:rFonts w:cs="Arial"/>
                <w:b/>
                <w:bCs/>
                <w:color w:val="000000"/>
                <w:sz w:val="18"/>
                <w:szCs w:val="18"/>
              </w:rPr>
            </w:pPr>
            <w:r w:rsidRPr="003A3F9F">
              <w:rPr>
                <w:rFonts w:cs="Arial"/>
                <w:b/>
                <w:bCs/>
                <w:color w:val="000000"/>
                <w:sz w:val="18"/>
                <w:szCs w:val="18"/>
              </w:rPr>
              <w:t>35.094</w:t>
            </w:r>
          </w:p>
        </w:tc>
      </w:tr>
    </w:tbl>
    <w:p w:rsidR="00413D72" w:rsidRPr="00413D72" w:rsidRDefault="00413D72" w:rsidP="00413D72">
      <w:pPr>
        <w:rPr>
          <w:lang w:eastAsia="en-US"/>
        </w:rPr>
      </w:pPr>
    </w:p>
    <w:p w:rsidR="00384084" w:rsidRPr="00636A50" w:rsidRDefault="00384084" w:rsidP="00384084">
      <w:pPr>
        <w:pStyle w:val="Overskrift2"/>
        <w:keepLines w:val="0"/>
        <w:numPr>
          <w:ilvl w:val="1"/>
          <w:numId w:val="5"/>
        </w:numPr>
        <w:spacing w:before="240" w:after="60"/>
        <w:jc w:val="both"/>
      </w:pPr>
      <w:r>
        <w:t>Hvad forudsagde prognosen</w:t>
      </w:r>
      <w:r w:rsidRPr="00636A50">
        <w:t xml:space="preserve"> i 201</w:t>
      </w:r>
      <w:r>
        <w:t>9</w:t>
      </w:r>
    </w:p>
    <w:p w:rsidR="00EA4925" w:rsidRPr="00A9702C" w:rsidRDefault="00F742B6" w:rsidP="00EA4925">
      <w:pPr>
        <w:pStyle w:val="Normal1"/>
        <w:rPr>
          <w:rFonts w:ascii="Arial" w:hAnsi="Arial" w:cs="Arial"/>
          <w:sz w:val="22"/>
          <w:szCs w:val="22"/>
          <w:lang w:eastAsia="en-US"/>
        </w:rPr>
      </w:pPr>
      <w:r w:rsidRPr="00A9702C">
        <w:rPr>
          <w:rFonts w:ascii="Arial" w:hAnsi="Arial" w:cs="Arial"/>
          <w:sz w:val="22"/>
          <w:szCs w:val="22"/>
          <w:lang w:eastAsia="en-US"/>
        </w:rPr>
        <w:t xml:space="preserve">Ifølge prognosen fra sidste år </w:t>
      </w:r>
      <w:r w:rsidR="003C6DAB">
        <w:rPr>
          <w:rFonts w:ascii="Arial" w:hAnsi="Arial" w:cs="Arial"/>
          <w:sz w:val="22"/>
          <w:szCs w:val="22"/>
          <w:lang w:eastAsia="en-US"/>
        </w:rPr>
        <w:t>lå der en forventning om</w:t>
      </w:r>
      <w:r w:rsidRPr="00A9702C">
        <w:rPr>
          <w:rFonts w:ascii="Arial" w:hAnsi="Arial" w:cs="Arial"/>
          <w:sz w:val="22"/>
          <w:szCs w:val="22"/>
          <w:lang w:eastAsia="en-US"/>
        </w:rPr>
        <w:t xml:space="preserve"> et b</w:t>
      </w:r>
      <w:r w:rsidR="00413D72">
        <w:rPr>
          <w:rFonts w:ascii="Arial" w:hAnsi="Arial" w:cs="Arial"/>
          <w:sz w:val="22"/>
          <w:szCs w:val="22"/>
          <w:lang w:eastAsia="en-US"/>
        </w:rPr>
        <w:t>efolkningstal på 35.309</w:t>
      </w:r>
      <w:r w:rsidRPr="00A9702C">
        <w:rPr>
          <w:rFonts w:ascii="Arial" w:hAnsi="Arial" w:cs="Arial"/>
          <w:sz w:val="22"/>
          <w:szCs w:val="22"/>
          <w:lang w:eastAsia="en-US"/>
        </w:rPr>
        <w:t xml:space="preserve"> personer med udgangen af 201</w:t>
      </w:r>
      <w:r w:rsidR="00413D72">
        <w:rPr>
          <w:rFonts w:ascii="Arial" w:hAnsi="Arial" w:cs="Arial"/>
          <w:sz w:val="22"/>
          <w:szCs w:val="22"/>
          <w:lang w:eastAsia="en-US"/>
        </w:rPr>
        <w:t>9</w:t>
      </w:r>
      <w:r w:rsidR="00384084">
        <w:rPr>
          <w:rFonts w:ascii="Arial" w:hAnsi="Arial" w:cs="Arial"/>
          <w:sz w:val="22"/>
          <w:szCs w:val="22"/>
          <w:lang w:eastAsia="en-US"/>
        </w:rPr>
        <w:t xml:space="preserve">, altså et fald på 0,2 pct. </w:t>
      </w:r>
      <w:r w:rsidR="00EA4925">
        <w:rPr>
          <w:rFonts w:ascii="Arial" w:hAnsi="Arial" w:cs="Arial"/>
          <w:sz w:val="22"/>
          <w:szCs w:val="22"/>
          <w:lang w:eastAsia="en-US"/>
        </w:rPr>
        <w:t>Det blev ikke</w:t>
      </w:r>
      <w:r w:rsidR="00756FB5">
        <w:rPr>
          <w:rFonts w:ascii="Arial" w:hAnsi="Arial" w:cs="Arial"/>
          <w:sz w:val="22"/>
          <w:szCs w:val="22"/>
          <w:lang w:eastAsia="en-US"/>
        </w:rPr>
        <w:t xml:space="preserve"> </w:t>
      </w:r>
      <w:r w:rsidR="00384084">
        <w:rPr>
          <w:rFonts w:ascii="Arial" w:hAnsi="Arial" w:cs="Arial"/>
          <w:sz w:val="22"/>
          <w:szCs w:val="22"/>
          <w:lang w:eastAsia="en-US"/>
        </w:rPr>
        <w:t xml:space="preserve">helt </w:t>
      </w:r>
      <w:r w:rsidR="00756FB5">
        <w:rPr>
          <w:rFonts w:ascii="Arial" w:hAnsi="Arial" w:cs="Arial"/>
          <w:sz w:val="22"/>
          <w:szCs w:val="22"/>
          <w:lang w:eastAsia="en-US"/>
        </w:rPr>
        <w:t>opfyldt fordi</w:t>
      </w:r>
      <w:r w:rsidRPr="00A9702C">
        <w:rPr>
          <w:rFonts w:ascii="Arial" w:hAnsi="Arial" w:cs="Arial"/>
          <w:sz w:val="22"/>
          <w:szCs w:val="22"/>
          <w:lang w:eastAsia="en-US"/>
        </w:rPr>
        <w:t xml:space="preserve"> det faktiske </w:t>
      </w:r>
      <w:r w:rsidR="00413D72">
        <w:rPr>
          <w:rFonts w:ascii="Arial" w:hAnsi="Arial" w:cs="Arial"/>
          <w:sz w:val="22"/>
          <w:szCs w:val="22"/>
          <w:lang w:eastAsia="en-US"/>
        </w:rPr>
        <w:t>befolkningstal landede på 35.094, en difference på -215</w:t>
      </w:r>
      <w:r w:rsidRPr="00A9702C">
        <w:rPr>
          <w:rFonts w:ascii="Arial" w:hAnsi="Arial" w:cs="Arial"/>
          <w:sz w:val="22"/>
          <w:szCs w:val="22"/>
          <w:lang w:eastAsia="en-US"/>
        </w:rPr>
        <w:t xml:space="preserve"> personer. Hove</w:t>
      </w:r>
      <w:r w:rsidR="00EA4925">
        <w:rPr>
          <w:rFonts w:ascii="Arial" w:hAnsi="Arial" w:cs="Arial"/>
          <w:sz w:val="22"/>
          <w:szCs w:val="22"/>
          <w:lang w:eastAsia="en-US"/>
        </w:rPr>
        <w:t>dforklaringen på</w:t>
      </w:r>
      <w:r w:rsidR="003C6DAB">
        <w:rPr>
          <w:rFonts w:ascii="Arial" w:hAnsi="Arial" w:cs="Arial"/>
          <w:sz w:val="22"/>
          <w:szCs w:val="22"/>
          <w:lang w:eastAsia="en-US"/>
        </w:rPr>
        <w:t xml:space="preserve"> denne tilbagegang</w:t>
      </w:r>
      <w:r w:rsidRPr="00A9702C">
        <w:rPr>
          <w:rFonts w:ascii="Arial" w:hAnsi="Arial" w:cs="Arial"/>
          <w:sz w:val="22"/>
          <w:szCs w:val="22"/>
          <w:lang w:eastAsia="en-US"/>
        </w:rPr>
        <w:t xml:space="preserve"> skyldes </w:t>
      </w:r>
      <w:r w:rsidR="006944D4" w:rsidRPr="00A9702C">
        <w:rPr>
          <w:rFonts w:ascii="Arial" w:hAnsi="Arial" w:cs="Arial"/>
          <w:sz w:val="22"/>
          <w:szCs w:val="22"/>
          <w:lang w:eastAsia="en-US"/>
        </w:rPr>
        <w:t>forskelle i antal til- og fraflyttere samt tallet for fødsler (netto).</w:t>
      </w:r>
      <w:r w:rsidR="00EA4925">
        <w:rPr>
          <w:rFonts w:ascii="Arial" w:hAnsi="Arial" w:cs="Arial"/>
          <w:sz w:val="22"/>
          <w:szCs w:val="22"/>
          <w:lang w:eastAsia="en-US"/>
        </w:rPr>
        <w:t xml:space="preserve"> Her skeles også til nedrivningen i Brøndby Strand som for alvor tog fart i løbet af 2018</w:t>
      </w:r>
      <w:r w:rsidR="00413D72">
        <w:rPr>
          <w:rFonts w:ascii="Arial" w:hAnsi="Arial" w:cs="Arial"/>
          <w:sz w:val="22"/>
          <w:szCs w:val="22"/>
          <w:lang w:eastAsia="en-US"/>
        </w:rPr>
        <w:t xml:space="preserve"> og 2019</w:t>
      </w:r>
      <w:r w:rsidR="00EA4925">
        <w:rPr>
          <w:rFonts w:ascii="Arial" w:hAnsi="Arial" w:cs="Arial"/>
          <w:sz w:val="22"/>
          <w:szCs w:val="22"/>
          <w:lang w:eastAsia="en-US"/>
        </w:rPr>
        <w:t xml:space="preserve"> og derfor</w:t>
      </w:r>
      <w:r w:rsidR="00384084">
        <w:rPr>
          <w:rFonts w:ascii="Arial" w:hAnsi="Arial" w:cs="Arial"/>
          <w:sz w:val="22"/>
          <w:szCs w:val="22"/>
          <w:lang w:eastAsia="en-US"/>
        </w:rPr>
        <w:t xml:space="preserve"> naturligvis</w:t>
      </w:r>
      <w:r w:rsidR="00EA4925">
        <w:rPr>
          <w:rFonts w:ascii="Arial" w:hAnsi="Arial" w:cs="Arial"/>
          <w:sz w:val="22"/>
          <w:szCs w:val="22"/>
          <w:lang w:eastAsia="en-US"/>
        </w:rPr>
        <w:t xml:space="preserve"> har indvirkning på det faldende befolkningstal. </w:t>
      </w:r>
    </w:p>
    <w:p w:rsidR="00EA4925" w:rsidRDefault="00EA4925" w:rsidP="00F742B6">
      <w:pPr>
        <w:pStyle w:val="Normal1"/>
        <w:rPr>
          <w:rFonts w:ascii="Arial" w:hAnsi="Arial" w:cs="Arial"/>
          <w:sz w:val="22"/>
          <w:szCs w:val="22"/>
          <w:lang w:eastAsia="en-US"/>
        </w:rPr>
      </w:pPr>
    </w:p>
    <w:p w:rsidR="00F742B6" w:rsidRDefault="00F742B6" w:rsidP="00F742B6">
      <w:pPr>
        <w:pStyle w:val="Normal1"/>
        <w:rPr>
          <w:rFonts w:ascii="Arial" w:hAnsi="Arial" w:cs="Arial"/>
          <w:sz w:val="22"/>
          <w:szCs w:val="22"/>
          <w:lang w:eastAsia="en-US"/>
        </w:rPr>
      </w:pPr>
      <w:r w:rsidRPr="00A9702C">
        <w:rPr>
          <w:rFonts w:ascii="Arial" w:hAnsi="Arial" w:cs="Arial"/>
          <w:sz w:val="22"/>
          <w:szCs w:val="22"/>
          <w:lang w:eastAsia="en-US"/>
        </w:rPr>
        <w:t>For overskuelighedens skyld er</w:t>
      </w:r>
      <w:r w:rsidR="006944D4" w:rsidRPr="00A9702C">
        <w:rPr>
          <w:rFonts w:ascii="Arial" w:hAnsi="Arial" w:cs="Arial"/>
          <w:sz w:val="22"/>
          <w:szCs w:val="22"/>
          <w:lang w:eastAsia="en-US"/>
        </w:rPr>
        <w:t xml:space="preserve"> forskellene</w:t>
      </w:r>
      <w:r w:rsidRPr="00A9702C">
        <w:rPr>
          <w:rFonts w:ascii="Arial" w:hAnsi="Arial" w:cs="Arial"/>
          <w:sz w:val="22"/>
          <w:szCs w:val="22"/>
          <w:lang w:eastAsia="en-US"/>
        </w:rPr>
        <w:t xml:space="preserve"> sat op i tabellen herunder.</w:t>
      </w:r>
    </w:p>
    <w:p w:rsidR="00B856FE" w:rsidRDefault="00B856FE" w:rsidP="00F742B6">
      <w:pPr>
        <w:pStyle w:val="Normal1"/>
      </w:pPr>
    </w:p>
    <w:tbl>
      <w:tblPr>
        <w:tblW w:w="5000" w:type="pct"/>
        <w:tblCellMar>
          <w:left w:w="70" w:type="dxa"/>
          <w:right w:w="70" w:type="dxa"/>
        </w:tblCellMar>
        <w:tblLook w:val="04A0" w:firstRow="1" w:lastRow="0" w:firstColumn="1" w:lastColumn="0" w:noHBand="0" w:noVBand="1"/>
      </w:tblPr>
      <w:tblGrid>
        <w:gridCol w:w="2794"/>
        <w:gridCol w:w="2581"/>
        <w:gridCol w:w="2271"/>
        <w:gridCol w:w="1993"/>
      </w:tblGrid>
      <w:tr w:rsidR="00E224D3" w:rsidRPr="00EA4925" w:rsidTr="00E224D3">
        <w:trPr>
          <w:trHeight w:val="300"/>
        </w:trPr>
        <w:tc>
          <w:tcPr>
            <w:tcW w:w="5000" w:type="pct"/>
            <w:gridSpan w:val="4"/>
            <w:tcBorders>
              <w:top w:val="nil"/>
              <w:left w:val="nil"/>
              <w:bottom w:val="single" w:sz="4" w:space="0" w:color="auto"/>
              <w:right w:val="nil"/>
            </w:tcBorders>
            <w:shd w:val="clear" w:color="auto" w:fill="auto"/>
            <w:noWrap/>
            <w:vAlign w:val="bottom"/>
            <w:hideMark/>
          </w:tcPr>
          <w:p w:rsidR="00E224D3" w:rsidRPr="00EA4925" w:rsidRDefault="00E224D3" w:rsidP="00E224D3">
            <w:pPr>
              <w:rPr>
                <w:rFonts w:cs="Arial"/>
                <w:color w:val="000000"/>
                <w:sz w:val="18"/>
                <w:szCs w:val="18"/>
              </w:rPr>
            </w:pPr>
            <w:r w:rsidRPr="00EA4925">
              <w:rPr>
                <w:rFonts w:cs="Arial"/>
                <w:b/>
                <w:color w:val="000000"/>
                <w:sz w:val="18"/>
                <w:szCs w:val="18"/>
              </w:rPr>
              <w:t>Tabel 2A</w:t>
            </w:r>
            <w:r w:rsidRPr="00EA4925">
              <w:rPr>
                <w:rFonts w:cs="Arial"/>
                <w:color w:val="000000"/>
                <w:sz w:val="18"/>
                <w:szCs w:val="18"/>
              </w:rPr>
              <w:t>, progno</w:t>
            </w:r>
            <w:r w:rsidR="00A2119F">
              <w:rPr>
                <w:rFonts w:cs="Arial"/>
                <w:color w:val="000000"/>
                <w:sz w:val="18"/>
                <w:szCs w:val="18"/>
              </w:rPr>
              <w:t>sen vs. de faktiske tal for 2019</w:t>
            </w:r>
          </w:p>
        </w:tc>
      </w:tr>
      <w:tr w:rsidR="00E224D3" w:rsidRPr="00EA4925" w:rsidTr="00E224D3">
        <w:trPr>
          <w:trHeight w:val="300"/>
        </w:trPr>
        <w:tc>
          <w:tcPr>
            <w:tcW w:w="1449" w:type="pct"/>
            <w:tcBorders>
              <w:top w:val="nil"/>
              <w:left w:val="nil"/>
              <w:bottom w:val="single" w:sz="4" w:space="0" w:color="auto"/>
              <w:right w:val="nil"/>
            </w:tcBorders>
            <w:shd w:val="clear" w:color="auto" w:fill="auto"/>
            <w:noWrap/>
            <w:vAlign w:val="bottom"/>
            <w:hideMark/>
          </w:tcPr>
          <w:p w:rsidR="00E224D3" w:rsidRPr="00EA4925" w:rsidRDefault="00E224D3" w:rsidP="00E224D3">
            <w:pPr>
              <w:jc w:val="center"/>
              <w:rPr>
                <w:rFonts w:cs="Arial"/>
                <w:color w:val="000000"/>
                <w:sz w:val="18"/>
                <w:szCs w:val="18"/>
              </w:rPr>
            </w:pPr>
          </w:p>
        </w:tc>
        <w:tc>
          <w:tcPr>
            <w:tcW w:w="1339" w:type="pct"/>
            <w:tcBorders>
              <w:top w:val="nil"/>
              <w:left w:val="nil"/>
              <w:bottom w:val="single" w:sz="4" w:space="0" w:color="auto"/>
              <w:right w:val="nil"/>
            </w:tcBorders>
            <w:shd w:val="clear" w:color="auto" w:fill="auto"/>
            <w:noWrap/>
            <w:vAlign w:val="bottom"/>
            <w:hideMark/>
          </w:tcPr>
          <w:p w:rsidR="00E224D3" w:rsidRPr="00EA4925" w:rsidRDefault="00E224D3" w:rsidP="00E224D3">
            <w:pPr>
              <w:jc w:val="center"/>
              <w:rPr>
                <w:rFonts w:cs="Arial"/>
                <w:color w:val="000000"/>
                <w:sz w:val="18"/>
                <w:szCs w:val="18"/>
              </w:rPr>
            </w:pPr>
            <w:r w:rsidRPr="00EA4925">
              <w:rPr>
                <w:rFonts w:cs="Arial"/>
                <w:color w:val="000000"/>
                <w:sz w:val="18"/>
                <w:szCs w:val="18"/>
              </w:rPr>
              <w:t>Prognose</w:t>
            </w:r>
            <w:r w:rsidR="00A2119F">
              <w:rPr>
                <w:rFonts w:cs="Arial"/>
                <w:color w:val="000000"/>
                <w:sz w:val="18"/>
                <w:szCs w:val="18"/>
              </w:rPr>
              <w:t xml:space="preserve"> for 2019</w:t>
            </w:r>
          </w:p>
        </w:tc>
        <w:tc>
          <w:tcPr>
            <w:tcW w:w="1178" w:type="pct"/>
            <w:tcBorders>
              <w:top w:val="nil"/>
              <w:left w:val="nil"/>
              <w:bottom w:val="single" w:sz="4" w:space="0" w:color="auto"/>
              <w:right w:val="nil"/>
            </w:tcBorders>
            <w:shd w:val="clear" w:color="auto" w:fill="auto"/>
            <w:noWrap/>
            <w:vAlign w:val="bottom"/>
            <w:hideMark/>
          </w:tcPr>
          <w:p w:rsidR="00E224D3" w:rsidRPr="00EA4925" w:rsidRDefault="00A2119F" w:rsidP="00E224D3">
            <w:pPr>
              <w:jc w:val="center"/>
              <w:rPr>
                <w:rFonts w:cs="Arial"/>
                <w:color w:val="000000"/>
                <w:sz w:val="18"/>
                <w:szCs w:val="18"/>
              </w:rPr>
            </w:pPr>
            <w:r>
              <w:rPr>
                <w:rFonts w:cs="Arial"/>
                <w:color w:val="000000"/>
                <w:sz w:val="18"/>
                <w:szCs w:val="18"/>
              </w:rPr>
              <w:t>Faktiske tal i 2019</w:t>
            </w:r>
          </w:p>
        </w:tc>
        <w:tc>
          <w:tcPr>
            <w:tcW w:w="1034" w:type="pct"/>
            <w:tcBorders>
              <w:top w:val="nil"/>
              <w:left w:val="nil"/>
              <w:bottom w:val="single" w:sz="4" w:space="0" w:color="auto"/>
              <w:right w:val="nil"/>
            </w:tcBorders>
            <w:shd w:val="clear" w:color="auto" w:fill="auto"/>
            <w:noWrap/>
            <w:vAlign w:val="bottom"/>
            <w:hideMark/>
          </w:tcPr>
          <w:p w:rsidR="00E224D3" w:rsidRPr="00EA4925" w:rsidRDefault="00E224D3" w:rsidP="00E224D3">
            <w:pPr>
              <w:jc w:val="center"/>
              <w:rPr>
                <w:rFonts w:cs="Arial"/>
                <w:color w:val="000000"/>
                <w:sz w:val="18"/>
                <w:szCs w:val="18"/>
              </w:rPr>
            </w:pPr>
            <w:r w:rsidRPr="00EA4925">
              <w:rPr>
                <w:rFonts w:cs="Arial"/>
                <w:color w:val="000000"/>
                <w:sz w:val="18"/>
                <w:szCs w:val="18"/>
              </w:rPr>
              <w:t>Forskel</w:t>
            </w:r>
          </w:p>
        </w:tc>
      </w:tr>
      <w:tr w:rsidR="00E224D3" w:rsidRPr="00EA4925" w:rsidTr="00E224D3">
        <w:trPr>
          <w:trHeight w:val="300"/>
        </w:trPr>
        <w:tc>
          <w:tcPr>
            <w:tcW w:w="1449" w:type="pct"/>
            <w:tcBorders>
              <w:top w:val="nil"/>
              <w:left w:val="nil"/>
              <w:bottom w:val="nil"/>
              <w:right w:val="nil"/>
            </w:tcBorders>
            <w:shd w:val="clear" w:color="auto" w:fill="auto"/>
            <w:noWrap/>
            <w:vAlign w:val="bottom"/>
            <w:hideMark/>
          </w:tcPr>
          <w:p w:rsidR="00E224D3" w:rsidRPr="00EA4925" w:rsidRDefault="00E224D3" w:rsidP="00E224D3">
            <w:pPr>
              <w:rPr>
                <w:rFonts w:cs="Arial"/>
                <w:color w:val="000000"/>
                <w:sz w:val="18"/>
                <w:szCs w:val="18"/>
              </w:rPr>
            </w:pPr>
            <w:r w:rsidRPr="00EA4925">
              <w:rPr>
                <w:rFonts w:cs="Arial"/>
                <w:color w:val="000000"/>
                <w:sz w:val="18"/>
                <w:szCs w:val="18"/>
              </w:rPr>
              <w:lastRenderedPageBreak/>
              <w:t>Tilflyttere</w:t>
            </w:r>
          </w:p>
        </w:tc>
        <w:tc>
          <w:tcPr>
            <w:tcW w:w="1339" w:type="pct"/>
            <w:tcBorders>
              <w:top w:val="nil"/>
              <w:left w:val="nil"/>
              <w:bottom w:val="nil"/>
              <w:right w:val="nil"/>
            </w:tcBorders>
            <w:shd w:val="clear" w:color="auto" w:fill="auto"/>
            <w:noWrap/>
            <w:vAlign w:val="bottom"/>
            <w:hideMark/>
          </w:tcPr>
          <w:p w:rsidR="00E224D3" w:rsidRPr="00EA4925" w:rsidRDefault="00E224D3" w:rsidP="00E224D3">
            <w:pPr>
              <w:jc w:val="center"/>
              <w:rPr>
                <w:rFonts w:cs="Arial"/>
                <w:color w:val="000000"/>
                <w:sz w:val="18"/>
                <w:szCs w:val="18"/>
              </w:rPr>
            </w:pPr>
            <w:r w:rsidRPr="00EA4925">
              <w:rPr>
                <w:rFonts w:cs="Arial"/>
                <w:color w:val="000000"/>
                <w:sz w:val="18"/>
                <w:szCs w:val="18"/>
              </w:rPr>
              <w:t>2</w:t>
            </w:r>
            <w:r w:rsidR="00B5767D">
              <w:rPr>
                <w:rFonts w:cs="Arial"/>
                <w:color w:val="000000"/>
                <w:sz w:val="18"/>
                <w:szCs w:val="18"/>
              </w:rPr>
              <w:t>.559</w:t>
            </w:r>
          </w:p>
        </w:tc>
        <w:tc>
          <w:tcPr>
            <w:tcW w:w="1178" w:type="pct"/>
            <w:tcBorders>
              <w:top w:val="nil"/>
              <w:left w:val="nil"/>
              <w:bottom w:val="nil"/>
              <w:right w:val="nil"/>
            </w:tcBorders>
            <w:shd w:val="clear" w:color="auto" w:fill="auto"/>
            <w:noWrap/>
            <w:vAlign w:val="bottom"/>
            <w:hideMark/>
          </w:tcPr>
          <w:p w:rsidR="00E224D3" w:rsidRPr="00EA4925" w:rsidRDefault="00E224D3" w:rsidP="00E224D3">
            <w:pPr>
              <w:jc w:val="center"/>
              <w:rPr>
                <w:rFonts w:cs="Arial"/>
                <w:color w:val="000000"/>
                <w:sz w:val="18"/>
                <w:szCs w:val="18"/>
              </w:rPr>
            </w:pPr>
            <w:r w:rsidRPr="00EA4925">
              <w:rPr>
                <w:rFonts w:cs="Arial"/>
                <w:color w:val="000000"/>
                <w:sz w:val="18"/>
                <w:szCs w:val="18"/>
              </w:rPr>
              <w:t>2</w:t>
            </w:r>
            <w:r w:rsidR="003C6DAB" w:rsidRPr="00EA4925">
              <w:rPr>
                <w:rFonts w:cs="Arial"/>
                <w:color w:val="000000"/>
                <w:sz w:val="18"/>
                <w:szCs w:val="18"/>
              </w:rPr>
              <w:t>.</w:t>
            </w:r>
            <w:r w:rsidR="00B5767D">
              <w:rPr>
                <w:rFonts w:cs="Arial"/>
                <w:color w:val="000000"/>
                <w:sz w:val="18"/>
                <w:szCs w:val="18"/>
              </w:rPr>
              <w:t>738</w:t>
            </w:r>
          </w:p>
        </w:tc>
        <w:tc>
          <w:tcPr>
            <w:tcW w:w="1034" w:type="pct"/>
            <w:tcBorders>
              <w:top w:val="nil"/>
              <w:left w:val="nil"/>
              <w:bottom w:val="nil"/>
              <w:right w:val="nil"/>
            </w:tcBorders>
            <w:shd w:val="clear" w:color="auto" w:fill="auto"/>
            <w:noWrap/>
            <w:vAlign w:val="bottom"/>
            <w:hideMark/>
          </w:tcPr>
          <w:p w:rsidR="00E224D3" w:rsidRPr="00EA4925" w:rsidRDefault="00B5767D" w:rsidP="00E224D3">
            <w:pPr>
              <w:jc w:val="center"/>
              <w:rPr>
                <w:rFonts w:cs="Arial"/>
                <w:color w:val="000000"/>
                <w:sz w:val="18"/>
                <w:szCs w:val="18"/>
              </w:rPr>
            </w:pPr>
            <w:r>
              <w:rPr>
                <w:rFonts w:cs="Arial"/>
                <w:color w:val="000000"/>
                <w:sz w:val="18"/>
                <w:szCs w:val="18"/>
              </w:rPr>
              <w:t>179</w:t>
            </w:r>
          </w:p>
        </w:tc>
      </w:tr>
      <w:tr w:rsidR="00E224D3" w:rsidRPr="00EA4925" w:rsidTr="00E224D3">
        <w:trPr>
          <w:trHeight w:val="300"/>
        </w:trPr>
        <w:tc>
          <w:tcPr>
            <w:tcW w:w="1449" w:type="pct"/>
            <w:tcBorders>
              <w:top w:val="nil"/>
              <w:left w:val="nil"/>
              <w:bottom w:val="nil"/>
              <w:right w:val="nil"/>
            </w:tcBorders>
            <w:shd w:val="clear" w:color="auto" w:fill="auto"/>
            <w:noWrap/>
            <w:vAlign w:val="bottom"/>
            <w:hideMark/>
          </w:tcPr>
          <w:p w:rsidR="00E224D3" w:rsidRPr="00EA4925" w:rsidRDefault="00E224D3" w:rsidP="00E224D3">
            <w:pPr>
              <w:rPr>
                <w:rFonts w:cs="Arial"/>
                <w:color w:val="000000"/>
                <w:sz w:val="18"/>
                <w:szCs w:val="18"/>
              </w:rPr>
            </w:pPr>
            <w:r w:rsidRPr="00EA4925">
              <w:rPr>
                <w:rFonts w:cs="Arial"/>
                <w:color w:val="000000"/>
                <w:sz w:val="18"/>
                <w:szCs w:val="18"/>
              </w:rPr>
              <w:t>Fraflyttere</w:t>
            </w:r>
          </w:p>
        </w:tc>
        <w:tc>
          <w:tcPr>
            <w:tcW w:w="1339" w:type="pct"/>
            <w:tcBorders>
              <w:top w:val="nil"/>
              <w:left w:val="nil"/>
              <w:bottom w:val="nil"/>
              <w:right w:val="nil"/>
            </w:tcBorders>
            <w:shd w:val="clear" w:color="auto" w:fill="auto"/>
            <w:noWrap/>
            <w:vAlign w:val="bottom"/>
            <w:hideMark/>
          </w:tcPr>
          <w:p w:rsidR="00E224D3" w:rsidRPr="00EA4925" w:rsidRDefault="00E224D3" w:rsidP="00E224D3">
            <w:pPr>
              <w:jc w:val="center"/>
              <w:rPr>
                <w:rFonts w:cs="Arial"/>
                <w:color w:val="000000"/>
                <w:sz w:val="18"/>
                <w:szCs w:val="18"/>
              </w:rPr>
            </w:pPr>
            <w:r w:rsidRPr="00EA4925">
              <w:rPr>
                <w:rFonts w:cs="Arial"/>
                <w:color w:val="000000"/>
                <w:sz w:val="18"/>
                <w:szCs w:val="18"/>
              </w:rPr>
              <w:t>2</w:t>
            </w:r>
            <w:r w:rsidR="003C6DAB" w:rsidRPr="00EA4925">
              <w:rPr>
                <w:rFonts w:cs="Arial"/>
                <w:color w:val="000000"/>
                <w:sz w:val="18"/>
                <w:szCs w:val="18"/>
              </w:rPr>
              <w:t>.</w:t>
            </w:r>
            <w:r w:rsidR="00B5767D">
              <w:rPr>
                <w:rFonts w:cs="Arial"/>
                <w:color w:val="000000"/>
                <w:sz w:val="18"/>
                <w:szCs w:val="18"/>
              </w:rPr>
              <w:t>684</w:t>
            </w:r>
          </w:p>
        </w:tc>
        <w:tc>
          <w:tcPr>
            <w:tcW w:w="1178" w:type="pct"/>
            <w:tcBorders>
              <w:top w:val="nil"/>
              <w:left w:val="nil"/>
              <w:bottom w:val="nil"/>
              <w:right w:val="nil"/>
            </w:tcBorders>
            <w:shd w:val="clear" w:color="auto" w:fill="auto"/>
            <w:noWrap/>
            <w:vAlign w:val="bottom"/>
            <w:hideMark/>
          </w:tcPr>
          <w:p w:rsidR="00E224D3" w:rsidRPr="00EA4925" w:rsidRDefault="00E224D3" w:rsidP="00E224D3">
            <w:pPr>
              <w:jc w:val="center"/>
              <w:rPr>
                <w:rFonts w:cs="Arial"/>
                <w:color w:val="000000"/>
                <w:sz w:val="18"/>
                <w:szCs w:val="18"/>
              </w:rPr>
            </w:pPr>
            <w:r w:rsidRPr="00EA4925">
              <w:rPr>
                <w:rFonts w:cs="Arial"/>
                <w:color w:val="000000"/>
                <w:sz w:val="18"/>
                <w:szCs w:val="18"/>
              </w:rPr>
              <w:t>3</w:t>
            </w:r>
            <w:r w:rsidR="003C6DAB" w:rsidRPr="00EA4925">
              <w:rPr>
                <w:rFonts w:cs="Arial"/>
                <w:color w:val="000000"/>
                <w:sz w:val="18"/>
                <w:szCs w:val="18"/>
              </w:rPr>
              <w:t>.</w:t>
            </w:r>
            <w:r w:rsidR="00B5767D">
              <w:rPr>
                <w:rFonts w:cs="Arial"/>
                <w:color w:val="000000"/>
                <w:sz w:val="18"/>
                <w:szCs w:val="18"/>
              </w:rPr>
              <w:t>035</w:t>
            </w:r>
          </w:p>
        </w:tc>
        <w:tc>
          <w:tcPr>
            <w:tcW w:w="1034" w:type="pct"/>
            <w:tcBorders>
              <w:top w:val="nil"/>
              <w:left w:val="nil"/>
              <w:bottom w:val="nil"/>
              <w:right w:val="nil"/>
            </w:tcBorders>
            <w:shd w:val="clear" w:color="auto" w:fill="auto"/>
            <w:noWrap/>
            <w:vAlign w:val="bottom"/>
            <w:hideMark/>
          </w:tcPr>
          <w:p w:rsidR="00E224D3" w:rsidRPr="00EA4925" w:rsidRDefault="00B5767D" w:rsidP="00E224D3">
            <w:pPr>
              <w:jc w:val="center"/>
              <w:rPr>
                <w:rFonts w:cs="Arial"/>
                <w:color w:val="000000"/>
                <w:sz w:val="18"/>
                <w:szCs w:val="18"/>
              </w:rPr>
            </w:pPr>
            <w:r>
              <w:rPr>
                <w:rFonts w:cs="Arial"/>
                <w:color w:val="000000"/>
                <w:sz w:val="18"/>
                <w:szCs w:val="18"/>
              </w:rPr>
              <w:t>-35</w:t>
            </w:r>
            <w:r w:rsidR="00E224D3" w:rsidRPr="00EA4925">
              <w:rPr>
                <w:rFonts w:cs="Arial"/>
                <w:color w:val="000000"/>
                <w:sz w:val="18"/>
                <w:szCs w:val="18"/>
              </w:rPr>
              <w:t>1</w:t>
            </w:r>
          </w:p>
        </w:tc>
      </w:tr>
      <w:tr w:rsidR="00E224D3" w:rsidRPr="00EA4925" w:rsidTr="00E224D3">
        <w:trPr>
          <w:trHeight w:val="300"/>
        </w:trPr>
        <w:tc>
          <w:tcPr>
            <w:tcW w:w="1449" w:type="pct"/>
            <w:tcBorders>
              <w:top w:val="nil"/>
              <w:left w:val="nil"/>
              <w:bottom w:val="nil"/>
              <w:right w:val="nil"/>
            </w:tcBorders>
            <w:shd w:val="clear" w:color="auto" w:fill="auto"/>
            <w:noWrap/>
            <w:vAlign w:val="bottom"/>
            <w:hideMark/>
          </w:tcPr>
          <w:p w:rsidR="00E224D3" w:rsidRPr="00EA4925" w:rsidRDefault="00E224D3" w:rsidP="00E224D3">
            <w:pPr>
              <w:rPr>
                <w:rFonts w:cs="Arial"/>
                <w:color w:val="000000"/>
                <w:sz w:val="18"/>
                <w:szCs w:val="18"/>
              </w:rPr>
            </w:pPr>
            <w:r w:rsidRPr="00EA4925">
              <w:rPr>
                <w:rFonts w:cs="Arial"/>
                <w:color w:val="000000"/>
                <w:sz w:val="18"/>
                <w:szCs w:val="18"/>
              </w:rPr>
              <w:t>Fødsler</w:t>
            </w:r>
            <w:r w:rsidR="00B5767D">
              <w:rPr>
                <w:rFonts w:cs="Arial"/>
                <w:color w:val="000000"/>
                <w:sz w:val="18"/>
                <w:szCs w:val="18"/>
              </w:rPr>
              <w:t xml:space="preserve"> (netto)</w:t>
            </w:r>
          </w:p>
        </w:tc>
        <w:tc>
          <w:tcPr>
            <w:tcW w:w="1339" w:type="pct"/>
            <w:tcBorders>
              <w:top w:val="nil"/>
              <w:left w:val="nil"/>
              <w:bottom w:val="nil"/>
              <w:right w:val="nil"/>
            </w:tcBorders>
            <w:shd w:val="clear" w:color="auto" w:fill="auto"/>
            <w:noWrap/>
            <w:vAlign w:val="bottom"/>
            <w:hideMark/>
          </w:tcPr>
          <w:p w:rsidR="00E224D3" w:rsidRPr="00EA4925" w:rsidRDefault="00B5767D" w:rsidP="00E224D3">
            <w:pPr>
              <w:jc w:val="center"/>
              <w:rPr>
                <w:rFonts w:cs="Arial"/>
                <w:color w:val="000000"/>
                <w:sz w:val="18"/>
                <w:szCs w:val="18"/>
              </w:rPr>
            </w:pPr>
            <w:r>
              <w:rPr>
                <w:rFonts w:cs="Arial"/>
                <w:color w:val="000000"/>
                <w:sz w:val="18"/>
                <w:szCs w:val="18"/>
              </w:rPr>
              <w:t>41</w:t>
            </w:r>
          </w:p>
        </w:tc>
        <w:tc>
          <w:tcPr>
            <w:tcW w:w="1178" w:type="pct"/>
            <w:tcBorders>
              <w:top w:val="nil"/>
              <w:left w:val="nil"/>
              <w:bottom w:val="nil"/>
              <w:right w:val="nil"/>
            </w:tcBorders>
            <w:shd w:val="clear" w:color="auto" w:fill="auto"/>
            <w:noWrap/>
            <w:vAlign w:val="bottom"/>
            <w:hideMark/>
          </w:tcPr>
          <w:p w:rsidR="00E224D3" w:rsidRPr="00EA4925" w:rsidRDefault="00B5767D" w:rsidP="00E224D3">
            <w:pPr>
              <w:jc w:val="center"/>
              <w:rPr>
                <w:rFonts w:cs="Arial"/>
                <w:color w:val="000000"/>
                <w:sz w:val="18"/>
                <w:szCs w:val="18"/>
              </w:rPr>
            </w:pPr>
            <w:r>
              <w:rPr>
                <w:rFonts w:cs="Arial"/>
                <w:color w:val="000000"/>
                <w:sz w:val="18"/>
                <w:szCs w:val="18"/>
              </w:rPr>
              <w:t>4</w:t>
            </w:r>
          </w:p>
        </w:tc>
        <w:tc>
          <w:tcPr>
            <w:tcW w:w="1034" w:type="pct"/>
            <w:tcBorders>
              <w:top w:val="nil"/>
              <w:left w:val="nil"/>
              <w:bottom w:val="nil"/>
              <w:right w:val="nil"/>
            </w:tcBorders>
            <w:shd w:val="clear" w:color="auto" w:fill="auto"/>
            <w:noWrap/>
            <w:vAlign w:val="bottom"/>
            <w:hideMark/>
          </w:tcPr>
          <w:p w:rsidR="00E224D3" w:rsidRPr="00EA4925" w:rsidRDefault="00B5767D" w:rsidP="00E224D3">
            <w:pPr>
              <w:jc w:val="center"/>
              <w:rPr>
                <w:rFonts w:cs="Arial"/>
                <w:color w:val="000000"/>
                <w:sz w:val="18"/>
                <w:szCs w:val="18"/>
              </w:rPr>
            </w:pPr>
            <w:r>
              <w:rPr>
                <w:rFonts w:cs="Arial"/>
                <w:color w:val="000000"/>
                <w:sz w:val="18"/>
                <w:szCs w:val="18"/>
              </w:rPr>
              <w:t>-37</w:t>
            </w:r>
          </w:p>
        </w:tc>
      </w:tr>
      <w:tr w:rsidR="00E224D3" w:rsidRPr="00EA4925" w:rsidTr="00E224D3">
        <w:trPr>
          <w:trHeight w:val="300"/>
        </w:trPr>
        <w:tc>
          <w:tcPr>
            <w:tcW w:w="1449" w:type="pct"/>
            <w:tcBorders>
              <w:top w:val="nil"/>
              <w:left w:val="nil"/>
              <w:bottom w:val="single" w:sz="4" w:space="0" w:color="auto"/>
              <w:right w:val="nil"/>
            </w:tcBorders>
            <w:shd w:val="clear" w:color="auto" w:fill="auto"/>
            <w:noWrap/>
            <w:vAlign w:val="bottom"/>
            <w:hideMark/>
          </w:tcPr>
          <w:p w:rsidR="00E224D3" w:rsidRPr="00EA4925" w:rsidRDefault="00E224D3" w:rsidP="00E224D3">
            <w:pPr>
              <w:rPr>
                <w:rFonts w:cs="Arial"/>
                <w:color w:val="000000"/>
                <w:sz w:val="18"/>
                <w:szCs w:val="18"/>
              </w:rPr>
            </w:pPr>
            <w:r w:rsidRPr="00EA4925">
              <w:rPr>
                <w:rFonts w:cs="Arial"/>
                <w:color w:val="000000"/>
                <w:sz w:val="18"/>
                <w:szCs w:val="18"/>
              </w:rPr>
              <w:t>Korrektioner</w:t>
            </w:r>
          </w:p>
        </w:tc>
        <w:tc>
          <w:tcPr>
            <w:tcW w:w="1339" w:type="pct"/>
            <w:tcBorders>
              <w:top w:val="nil"/>
              <w:left w:val="nil"/>
              <w:bottom w:val="single" w:sz="4" w:space="0" w:color="auto"/>
              <w:right w:val="nil"/>
            </w:tcBorders>
            <w:shd w:val="clear" w:color="auto" w:fill="auto"/>
            <w:noWrap/>
            <w:vAlign w:val="bottom"/>
            <w:hideMark/>
          </w:tcPr>
          <w:p w:rsidR="00E224D3" w:rsidRPr="00EA4925" w:rsidRDefault="00B5767D" w:rsidP="00E224D3">
            <w:pPr>
              <w:jc w:val="center"/>
              <w:rPr>
                <w:rFonts w:cs="Arial"/>
                <w:color w:val="000000"/>
                <w:sz w:val="18"/>
                <w:szCs w:val="18"/>
              </w:rPr>
            </w:pPr>
            <w:r>
              <w:rPr>
                <w:rFonts w:cs="Arial"/>
                <w:color w:val="000000"/>
                <w:sz w:val="18"/>
                <w:szCs w:val="18"/>
              </w:rPr>
              <w:t>0</w:t>
            </w:r>
          </w:p>
        </w:tc>
        <w:tc>
          <w:tcPr>
            <w:tcW w:w="1178" w:type="pct"/>
            <w:tcBorders>
              <w:top w:val="nil"/>
              <w:left w:val="nil"/>
              <w:bottom w:val="single" w:sz="4" w:space="0" w:color="auto"/>
              <w:right w:val="nil"/>
            </w:tcBorders>
            <w:shd w:val="clear" w:color="auto" w:fill="auto"/>
            <w:noWrap/>
            <w:vAlign w:val="bottom"/>
            <w:hideMark/>
          </w:tcPr>
          <w:p w:rsidR="00E224D3" w:rsidRPr="00EA4925" w:rsidRDefault="00E224D3" w:rsidP="00E224D3">
            <w:pPr>
              <w:jc w:val="center"/>
              <w:rPr>
                <w:rFonts w:cs="Arial"/>
                <w:color w:val="000000"/>
                <w:sz w:val="18"/>
                <w:szCs w:val="18"/>
              </w:rPr>
            </w:pPr>
          </w:p>
        </w:tc>
        <w:tc>
          <w:tcPr>
            <w:tcW w:w="1034" w:type="pct"/>
            <w:tcBorders>
              <w:top w:val="nil"/>
              <w:left w:val="nil"/>
              <w:bottom w:val="single" w:sz="4" w:space="0" w:color="auto"/>
              <w:right w:val="nil"/>
            </w:tcBorders>
            <w:shd w:val="clear" w:color="auto" w:fill="auto"/>
            <w:noWrap/>
            <w:vAlign w:val="bottom"/>
            <w:hideMark/>
          </w:tcPr>
          <w:p w:rsidR="00B5767D" w:rsidRPr="00EA4925" w:rsidRDefault="00B5767D" w:rsidP="00B5767D">
            <w:pPr>
              <w:jc w:val="center"/>
              <w:rPr>
                <w:rFonts w:cs="Arial"/>
                <w:color w:val="000000"/>
                <w:sz w:val="18"/>
                <w:szCs w:val="18"/>
              </w:rPr>
            </w:pPr>
            <w:r>
              <w:rPr>
                <w:rFonts w:cs="Arial"/>
                <w:color w:val="000000"/>
                <w:sz w:val="18"/>
                <w:szCs w:val="18"/>
              </w:rPr>
              <w:t>-6</w:t>
            </w:r>
          </w:p>
        </w:tc>
      </w:tr>
      <w:tr w:rsidR="00E224D3" w:rsidRPr="00EA4925" w:rsidTr="00E224D3">
        <w:trPr>
          <w:trHeight w:val="300"/>
        </w:trPr>
        <w:tc>
          <w:tcPr>
            <w:tcW w:w="1449" w:type="pct"/>
            <w:tcBorders>
              <w:top w:val="nil"/>
              <w:left w:val="nil"/>
              <w:bottom w:val="single" w:sz="4" w:space="0" w:color="auto"/>
              <w:right w:val="nil"/>
            </w:tcBorders>
            <w:shd w:val="clear" w:color="auto" w:fill="auto"/>
            <w:noWrap/>
            <w:vAlign w:val="bottom"/>
            <w:hideMark/>
          </w:tcPr>
          <w:p w:rsidR="00E224D3" w:rsidRPr="00EA4925" w:rsidRDefault="00E224D3" w:rsidP="00E224D3">
            <w:pPr>
              <w:rPr>
                <w:rFonts w:cs="Arial"/>
                <w:b/>
                <w:color w:val="000000"/>
                <w:sz w:val="18"/>
                <w:szCs w:val="18"/>
              </w:rPr>
            </w:pPr>
            <w:r w:rsidRPr="00EA4925">
              <w:rPr>
                <w:rFonts w:cs="Arial"/>
                <w:b/>
                <w:color w:val="000000"/>
                <w:sz w:val="18"/>
                <w:szCs w:val="18"/>
              </w:rPr>
              <w:t>I alt</w:t>
            </w:r>
          </w:p>
        </w:tc>
        <w:tc>
          <w:tcPr>
            <w:tcW w:w="1339" w:type="pct"/>
            <w:tcBorders>
              <w:top w:val="nil"/>
              <w:left w:val="nil"/>
              <w:bottom w:val="single" w:sz="4" w:space="0" w:color="auto"/>
              <w:right w:val="nil"/>
            </w:tcBorders>
            <w:shd w:val="clear" w:color="auto" w:fill="auto"/>
            <w:noWrap/>
            <w:vAlign w:val="bottom"/>
            <w:hideMark/>
          </w:tcPr>
          <w:p w:rsidR="00E224D3" w:rsidRPr="00EA4925" w:rsidRDefault="00E224D3" w:rsidP="00E224D3">
            <w:pPr>
              <w:jc w:val="center"/>
              <w:rPr>
                <w:rFonts w:cs="Arial"/>
                <w:b/>
                <w:color w:val="000000"/>
                <w:sz w:val="18"/>
                <w:szCs w:val="18"/>
              </w:rPr>
            </w:pPr>
          </w:p>
        </w:tc>
        <w:tc>
          <w:tcPr>
            <w:tcW w:w="1178" w:type="pct"/>
            <w:tcBorders>
              <w:top w:val="nil"/>
              <w:left w:val="nil"/>
              <w:bottom w:val="single" w:sz="4" w:space="0" w:color="auto"/>
              <w:right w:val="nil"/>
            </w:tcBorders>
            <w:shd w:val="clear" w:color="auto" w:fill="auto"/>
            <w:noWrap/>
            <w:vAlign w:val="bottom"/>
            <w:hideMark/>
          </w:tcPr>
          <w:p w:rsidR="00E224D3" w:rsidRPr="00EA4925" w:rsidRDefault="00E224D3" w:rsidP="00E224D3">
            <w:pPr>
              <w:jc w:val="center"/>
              <w:rPr>
                <w:rFonts w:cs="Arial"/>
                <w:b/>
                <w:color w:val="000000"/>
                <w:sz w:val="18"/>
                <w:szCs w:val="18"/>
              </w:rPr>
            </w:pPr>
          </w:p>
        </w:tc>
        <w:tc>
          <w:tcPr>
            <w:tcW w:w="1034" w:type="pct"/>
            <w:tcBorders>
              <w:top w:val="nil"/>
              <w:left w:val="nil"/>
              <w:bottom w:val="single" w:sz="4" w:space="0" w:color="auto"/>
              <w:right w:val="nil"/>
            </w:tcBorders>
            <w:shd w:val="clear" w:color="auto" w:fill="auto"/>
            <w:noWrap/>
            <w:vAlign w:val="bottom"/>
            <w:hideMark/>
          </w:tcPr>
          <w:p w:rsidR="00E224D3" w:rsidRPr="00EA4925" w:rsidRDefault="00B5767D" w:rsidP="00E224D3">
            <w:pPr>
              <w:jc w:val="center"/>
              <w:rPr>
                <w:rFonts w:cs="Arial"/>
                <w:b/>
                <w:color w:val="000000"/>
                <w:sz w:val="18"/>
                <w:szCs w:val="18"/>
              </w:rPr>
            </w:pPr>
            <w:r>
              <w:rPr>
                <w:rFonts w:cs="Arial"/>
                <w:b/>
                <w:color w:val="000000"/>
                <w:sz w:val="18"/>
                <w:szCs w:val="18"/>
              </w:rPr>
              <w:t>-215</w:t>
            </w:r>
          </w:p>
        </w:tc>
      </w:tr>
    </w:tbl>
    <w:p w:rsidR="005832B8" w:rsidRDefault="005832B8" w:rsidP="005832B8">
      <w:pPr>
        <w:rPr>
          <w:lang w:eastAsia="en-US"/>
        </w:rPr>
      </w:pPr>
    </w:p>
    <w:p w:rsidR="00865473" w:rsidRPr="00865473" w:rsidRDefault="00865473" w:rsidP="00865473">
      <w:pPr>
        <w:pStyle w:val="Normal1"/>
        <w:rPr>
          <w:rFonts w:ascii="Arial" w:hAnsi="Arial" w:cs="Arial"/>
          <w:sz w:val="22"/>
          <w:szCs w:val="22"/>
          <w:lang w:eastAsia="en-US"/>
        </w:rPr>
      </w:pPr>
      <w:r>
        <w:rPr>
          <w:rFonts w:ascii="Arial" w:hAnsi="Arial" w:cs="Arial"/>
          <w:sz w:val="22"/>
          <w:szCs w:val="22"/>
          <w:lang w:eastAsia="en-US"/>
        </w:rPr>
        <w:t xml:space="preserve">Det positive ved udviklingen er, at der faktisk kom lidt flere tilflyttere, end prognosen havde regnet med. Desværre var der også flere personer, som flyttede væk fra </w:t>
      </w:r>
      <w:r w:rsidRPr="003C6DAB">
        <w:rPr>
          <w:rFonts w:ascii="Arial" w:hAnsi="Arial" w:cs="Arial"/>
          <w:sz w:val="22"/>
          <w:szCs w:val="22"/>
          <w:lang w:eastAsia="en-US"/>
        </w:rPr>
        <w:t>Brøndby Kommune</w:t>
      </w:r>
      <w:r>
        <w:rPr>
          <w:rFonts w:ascii="Arial" w:hAnsi="Arial" w:cs="Arial"/>
          <w:sz w:val="22"/>
          <w:szCs w:val="22"/>
          <w:lang w:eastAsia="en-US"/>
        </w:rPr>
        <w:t xml:space="preserve">. Samlet set var prognosen altså mere optimistisk end hvad den reelle udvikling blev. Fejlskønnet blev på i alt 215 personer. </w:t>
      </w:r>
    </w:p>
    <w:p w:rsidR="006D04C4" w:rsidRPr="00204CAD" w:rsidRDefault="006D04C4" w:rsidP="006D04C4">
      <w:pPr>
        <w:pStyle w:val="Overskrift2"/>
        <w:keepLines w:val="0"/>
        <w:numPr>
          <w:ilvl w:val="1"/>
          <w:numId w:val="5"/>
        </w:numPr>
        <w:spacing w:before="240" w:after="60"/>
        <w:jc w:val="both"/>
      </w:pPr>
      <w:bookmarkStart w:id="10" w:name="_Toc38355997"/>
      <w:r w:rsidRPr="00204CAD">
        <w:t>Befolkni</w:t>
      </w:r>
      <w:r w:rsidR="00611FD1">
        <w:t>ngens bevægelser i perioden 2011</w:t>
      </w:r>
      <w:r w:rsidRPr="00204CAD">
        <w:t>-20</w:t>
      </w:r>
      <w:r w:rsidR="00963052">
        <w:t>20</w:t>
      </w:r>
      <w:bookmarkEnd w:id="10"/>
    </w:p>
    <w:p w:rsidR="00384084"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De historiske bevægelser i Brøndby Kommunes indbyggertal, som fremgår af tabel 3 nedenfor, viser,</w:t>
      </w:r>
      <w:r w:rsidR="00C03F9D">
        <w:rPr>
          <w:rFonts w:ascii="Arial" w:hAnsi="Arial" w:cs="Arial"/>
          <w:sz w:val="22"/>
          <w:szCs w:val="22"/>
          <w:lang w:eastAsia="en-US"/>
        </w:rPr>
        <w:t xml:space="preserve"> at befolkningstallet siden </w:t>
      </w:r>
      <w:r w:rsidR="00223A86">
        <w:rPr>
          <w:rFonts w:ascii="Arial" w:hAnsi="Arial" w:cs="Arial"/>
          <w:sz w:val="22"/>
          <w:szCs w:val="22"/>
          <w:lang w:eastAsia="en-US"/>
        </w:rPr>
        <w:t xml:space="preserve">begyndelsen af </w:t>
      </w:r>
      <w:r w:rsidR="00963052" w:rsidRPr="00223A86">
        <w:rPr>
          <w:rFonts w:ascii="Arial" w:hAnsi="Arial" w:cs="Arial"/>
          <w:sz w:val="22"/>
          <w:szCs w:val="22"/>
          <w:lang w:eastAsia="en-US"/>
        </w:rPr>
        <w:t>2011</w:t>
      </w:r>
      <w:r w:rsidR="00223A86" w:rsidRPr="00223A86">
        <w:rPr>
          <w:rFonts w:ascii="Arial" w:hAnsi="Arial" w:cs="Arial"/>
          <w:sz w:val="22"/>
          <w:szCs w:val="22"/>
          <w:lang w:eastAsia="en-US"/>
        </w:rPr>
        <w:t xml:space="preserve"> og frem til begyndelsen af 2020</w:t>
      </w:r>
      <w:r w:rsidR="00963052">
        <w:rPr>
          <w:rFonts w:ascii="Arial" w:hAnsi="Arial" w:cs="Arial"/>
          <w:sz w:val="22"/>
          <w:szCs w:val="22"/>
          <w:lang w:eastAsia="en-US"/>
        </w:rPr>
        <w:t xml:space="preserve"> har været stigende. Den stigende tendens aftog</w:t>
      </w:r>
      <w:r w:rsidR="00223A86">
        <w:rPr>
          <w:rFonts w:ascii="Arial" w:hAnsi="Arial" w:cs="Arial"/>
          <w:sz w:val="22"/>
          <w:szCs w:val="22"/>
          <w:lang w:eastAsia="en-US"/>
        </w:rPr>
        <w:t xml:space="preserve"> dog</w:t>
      </w:r>
      <w:r w:rsidR="00963052">
        <w:rPr>
          <w:rFonts w:ascii="Arial" w:hAnsi="Arial" w:cs="Arial"/>
          <w:sz w:val="22"/>
          <w:szCs w:val="22"/>
          <w:lang w:eastAsia="en-US"/>
        </w:rPr>
        <w:t xml:space="preserve"> i 2017 og er nu fortsat i både 2018 og 2019</w:t>
      </w:r>
      <w:r w:rsidR="00384084">
        <w:rPr>
          <w:rFonts w:ascii="Arial" w:hAnsi="Arial" w:cs="Arial"/>
          <w:sz w:val="22"/>
          <w:szCs w:val="22"/>
          <w:lang w:eastAsia="en-US"/>
        </w:rPr>
        <w:t>.</w:t>
      </w:r>
    </w:p>
    <w:p w:rsidR="00384084" w:rsidRDefault="00384084" w:rsidP="006D04C4">
      <w:pPr>
        <w:pStyle w:val="Normal1"/>
        <w:rPr>
          <w:rFonts w:ascii="Arial" w:hAnsi="Arial" w:cs="Arial"/>
          <w:sz w:val="22"/>
          <w:szCs w:val="22"/>
          <w:lang w:eastAsia="en-US"/>
        </w:rPr>
      </w:pPr>
    </w:p>
    <w:p w:rsidR="007B0B03" w:rsidRPr="00A9702C" w:rsidRDefault="00963052" w:rsidP="006D04C4">
      <w:pPr>
        <w:pStyle w:val="Normal1"/>
        <w:rPr>
          <w:rFonts w:ascii="Arial" w:hAnsi="Arial" w:cs="Arial"/>
          <w:sz w:val="22"/>
          <w:szCs w:val="22"/>
          <w:lang w:eastAsia="en-US"/>
        </w:rPr>
      </w:pPr>
      <w:r>
        <w:rPr>
          <w:rFonts w:ascii="Arial" w:hAnsi="Arial" w:cs="Arial"/>
          <w:sz w:val="22"/>
          <w:szCs w:val="22"/>
          <w:lang w:eastAsia="en-US"/>
        </w:rPr>
        <w:t>I 2018 faldt</w:t>
      </w:r>
      <w:r w:rsidR="006D04C4" w:rsidRPr="00A9702C">
        <w:rPr>
          <w:rFonts w:ascii="Arial" w:hAnsi="Arial" w:cs="Arial"/>
          <w:sz w:val="22"/>
          <w:szCs w:val="22"/>
          <w:lang w:eastAsia="en-US"/>
        </w:rPr>
        <w:t xml:space="preserve"> befolkningstallet </w:t>
      </w:r>
      <w:r>
        <w:rPr>
          <w:rFonts w:ascii="Arial" w:hAnsi="Arial" w:cs="Arial"/>
          <w:sz w:val="22"/>
          <w:szCs w:val="22"/>
          <w:lang w:eastAsia="en-US"/>
        </w:rPr>
        <w:t xml:space="preserve">med </w:t>
      </w:r>
      <w:r w:rsidR="007B0B03" w:rsidRPr="00A9702C">
        <w:rPr>
          <w:rFonts w:ascii="Arial" w:hAnsi="Arial" w:cs="Arial"/>
          <w:sz w:val="22"/>
          <w:szCs w:val="22"/>
          <w:lang w:eastAsia="en-US"/>
        </w:rPr>
        <w:t>i alt</w:t>
      </w:r>
      <w:r w:rsidR="005A46F2" w:rsidRPr="00A9702C">
        <w:rPr>
          <w:rFonts w:ascii="Arial" w:hAnsi="Arial" w:cs="Arial"/>
          <w:sz w:val="22"/>
          <w:szCs w:val="22"/>
          <w:lang w:eastAsia="en-US"/>
        </w:rPr>
        <w:t xml:space="preserve"> 148</w:t>
      </w:r>
      <w:r w:rsidR="006D04C4" w:rsidRPr="00A9702C">
        <w:rPr>
          <w:rFonts w:ascii="Arial" w:hAnsi="Arial" w:cs="Arial"/>
          <w:sz w:val="22"/>
          <w:szCs w:val="22"/>
          <w:lang w:eastAsia="en-US"/>
        </w:rPr>
        <w:t xml:space="preserve"> personer</w:t>
      </w:r>
      <w:r w:rsidR="00773026" w:rsidRPr="00A9702C">
        <w:rPr>
          <w:rFonts w:ascii="Arial" w:hAnsi="Arial" w:cs="Arial"/>
          <w:sz w:val="22"/>
          <w:szCs w:val="22"/>
          <w:lang w:eastAsia="en-US"/>
        </w:rPr>
        <w:t>.</w:t>
      </w:r>
      <w:r>
        <w:rPr>
          <w:rFonts w:ascii="Arial" w:hAnsi="Arial" w:cs="Arial"/>
          <w:sz w:val="22"/>
          <w:szCs w:val="22"/>
          <w:lang w:eastAsia="en-US"/>
        </w:rPr>
        <w:t xml:space="preserve"> I 2019 er faldet endnu højere, faktisk det dobbelte, og udgør i alt 299 personer. Faldet de sidste to år skyldes hovedsagligt udviklingen i Brøndby Strand </w:t>
      </w:r>
      <w:r w:rsidR="00384084">
        <w:rPr>
          <w:rFonts w:ascii="Arial" w:hAnsi="Arial" w:cs="Arial"/>
          <w:sz w:val="22"/>
          <w:szCs w:val="22"/>
          <w:lang w:eastAsia="en-US"/>
        </w:rPr>
        <w:t>og den igangværende fraflytning.</w:t>
      </w:r>
      <w:r>
        <w:rPr>
          <w:rFonts w:ascii="Arial" w:hAnsi="Arial" w:cs="Arial"/>
          <w:sz w:val="22"/>
          <w:szCs w:val="22"/>
          <w:lang w:eastAsia="en-US"/>
        </w:rPr>
        <w:t xml:space="preserve"> </w:t>
      </w:r>
    </w:p>
    <w:p w:rsidR="007B0B03" w:rsidRPr="00A9702C" w:rsidRDefault="007B0B03" w:rsidP="006D04C4">
      <w:pPr>
        <w:pStyle w:val="Normal1"/>
        <w:rPr>
          <w:rFonts w:ascii="Arial" w:hAnsi="Arial" w:cs="Arial"/>
          <w:sz w:val="22"/>
          <w:szCs w:val="22"/>
          <w:lang w:eastAsia="en-US"/>
        </w:rPr>
      </w:pPr>
    </w:p>
    <w:p w:rsidR="006D04C4" w:rsidRPr="00A9702C" w:rsidRDefault="007B0B03" w:rsidP="006D04C4">
      <w:pPr>
        <w:pStyle w:val="Normal1"/>
        <w:rPr>
          <w:rFonts w:ascii="Arial" w:hAnsi="Arial" w:cs="Arial"/>
          <w:sz w:val="22"/>
          <w:szCs w:val="22"/>
          <w:lang w:eastAsia="en-US"/>
        </w:rPr>
      </w:pPr>
      <w:r w:rsidRPr="00A9702C">
        <w:rPr>
          <w:rFonts w:ascii="Arial" w:hAnsi="Arial" w:cs="Arial"/>
          <w:sz w:val="22"/>
          <w:szCs w:val="22"/>
          <w:lang w:eastAsia="en-US"/>
        </w:rPr>
        <w:t>På trods af en</w:t>
      </w:r>
      <w:r w:rsidR="00773026" w:rsidRPr="00A9702C">
        <w:rPr>
          <w:rFonts w:ascii="Arial" w:hAnsi="Arial" w:cs="Arial"/>
          <w:sz w:val="22"/>
          <w:szCs w:val="22"/>
          <w:lang w:eastAsia="en-US"/>
        </w:rPr>
        <w:t xml:space="preserve"> fald</w:t>
      </w:r>
      <w:r w:rsidRPr="00A9702C">
        <w:rPr>
          <w:rFonts w:ascii="Arial" w:hAnsi="Arial" w:cs="Arial"/>
          <w:sz w:val="22"/>
          <w:szCs w:val="22"/>
          <w:lang w:eastAsia="en-US"/>
        </w:rPr>
        <w:t>ende tendens</w:t>
      </w:r>
      <w:r w:rsidR="00773026" w:rsidRPr="00A9702C">
        <w:rPr>
          <w:rFonts w:ascii="Arial" w:hAnsi="Arial" w:cs="Arial"/>
          <w:sz w:val="22"/>
          <w:szCs w:val="22"/>
          <w:lang w:eastAsia="en-US"/>
        </w:rPr>
        <w:t xml:space="preserve"> </w:t>
      </w:r>
      <w:r w:rsidRPr="00A9702C">
        <w:rPr>
          <w:rFonts w:ascii="Arial" w:hAnsi="Arial" w:cs="Arial"/>
          <w:sz w:val="22"/>
          <w:szCs w:val="22"/>
          <w:lang w:eastAsia="en-US"/>
        </w:rPr>
        <w:t>de seneste par</w:t>
      </w:r>
      <w:r w:rsidR="00773026" w:rsidRPr="00A9702C">
        <w:rPr>
          <w:rFonts w:ascii="Arial" w:hAnsi="Arial" w:cs="Arial"/>
          <w:sz w:val="22"/>
          <w:szCs w:val="22"/>
          <w:lang w:eastAsia="en-US"/>
        </w:rPr>
        <w:t xml:space="preserve"> år i befolkningstallet</w:t>
      </w:r>
      <w:r w:rsidRPr="00A9702C">
        <w:rPr>
          <w:rFonts w:ascii="Arial" w:hAnsi="Arial" w:cs="Arial"/>
          <w:sz w:val="22"/>
          <w:szCs w:val="22"/>
          <w:lang w:eastAsia="en-US"/>
        </w:rPr>
        <w:t>,</w:t>
      </w:r>
      <w:r w:rsidR="00963052">
        <w:rPr>
          <w:rFonts w:ascii="Arial" w:hAnsi="Arial" w:cs="Arial"/>
          <w:sz w:val="22"/>
          <w:szCs w:val="22"/>
          <w:lang w:eastAsia="en-US"/>
        </w:rPr>
        <w:t xml:space="preserve"> så er der </w:t>
      </w:r>
      <w:r w:rsidR="00223A86">
        <w:rPr>
          <w:rFonts w:ascii="Arial" w:hAnsi="Arial" w:cs="Arial"/>
          <w:sz w:val="22"/>
          <w:szCs w:val="22"/>
          <w:lang w:eastAsia="en-US"/>
        </w:rPr>
        <w:t xml:space="preserve">total set </w:t>
      </w:r>
      <w:r w:rsidR="00963052">
        <w:rPr>
          <w:rFonts w:ascii="Arial" w:hAnsi="Arial" w:cs="Arial"/>
          <w:sz w:val="22"/>
          <w:szCs w:val="22"/>
          <w:lang w:eastAsia="en-US"/>
        </w:rPr>
        <w:t>siden</w:t>
      </w:r>
      <w:r w:rsidR="00223A86">
        <w:rPr>
          <w:rFonts w:ascii="Arial" w:hAnsi="Arial" w:cs="Arial"/>
          <w:sz w:val="22"/>
          <w:szCs w:val="22"/>
          <w:lang w:eastAsia="en-US"/>
        </w:rPr>
        <w:t xml:space="preserve"> begyndelsen af</w:t>
      </w:r>
      <w:r w:rsidR="00963052">
        <w:rPr>
          <w:rFonts w:ascii="Arial" w:hAnsi="Arial" w:cs="Arial"/>
          <w:sz w:val="22"/>
          <w:szCs w:val="22"/>
          <w:lang w:eastAsia="en-US"/>
        </w:rPr>
        <w:t xml:space="preserve"> 2011</w:t>
      </w:r>
      <w:r w:rsidR="00223A86">
        <w:rPr>
          <w:rFonts w:ascii="Arial" w:hAnsi="Arial" w:cs="Arial"/>
          <w:sz w:val="22"/>
          <w:szCs w:val="22"/>
          <w:lang w:eastAsia="en-US"/>
        </w:rPr>
        <w:t xml:space="preserve"> og frem til begyndelsen af 2020</w:t>
      </w:r>
      <w:r w:rsidR="00384084">
        <w:rPr>
          <w:rFonts w:ascii="Arial" w:hAnsi="Arial" w:cs="Arial"/>
          <w:sz w:val="22"/>
          <w:szCs w:val="22"/>
          <w:lang w:eastAsia="en-US"/>
        </w:rPr>
        <w:t xml:space="preserve"> (ultimo 2019-tallet)</w:t>
      </w:r>
      <w:r w:rsidR="00223A86">
        <w:rPr>
          <w:rFonts w:ascii="Arial" w:hAnsi="Arial" w:cs="Arial"/>
          <w:sz w:val="22"/>
          <w:szCs w:val="22"/>
          <w:lang w:eastAsia="en-US"/>
        </w:rPr>
        <w:t xml:space="preserve">, </w:t>
      </w:r>
      <w:r w:rsidR="00773026" w:rsidRPr="00A9702C">
        <w:rPr>
          <w:rFonts w:ascii="Arial" w:hAnsi="Arial" w:cs="Arial"/>
          <w:sz w:val="22"/>
          <w:szCs w:val="22"/>
          <w:lang w:eastAsia="en-US"/>
        </w:rPr>
        <w:t>tilflyttet i alt</w:t>
      </w:r>
      <w:r w:rsidR="00DA43E6">
        <w:rPr>
          <w:rFonts w:ascii="Arial" w:hAnsi="Arial" w:cs="Arial"/>
          <w:sz w:val="22"/>
          <w:szCs w:val="22"/>
          <w:lang w:eastAsia="en-US"/>
        </w:rPr>
        <w:t xml:space="preserve"> 1.099</w:t>
      </w:r>
      <w:r w:rsidR="006D04C4" w:rsidRPr="00A9702C">
        <w:rPr>
          <w:rFonts w:ascii="Arial" w:hAnsi="Arial" w:cs="Arial"/>
          <w:sz w:val="22"/>
          <w:szCs w:val="22"/>
          <w:lang w:eastAsia="en-US"/>
        </w:rPr>
        <w:t xml:space="preserve"> personer</w:t>
      </w:r>
      <w:r w:rsidR="00773026" w:rsidRPr="00A9702C">
        <w:rPr>
          <w:rFonts w:ascii="Arial" w:hAnsi="Arial" w:cs="Arial"/>
          <w:sz w:val="22"/>
          <w:szCs w:val="22"/>
          <w:lang w:eastAsia="en-US"/>
        </w:rPr>
        <w:t xml:space="preserve"> til kommunen</w:t>
      </w:r>
      <w:r w:rsidR="00223A86">
        <w:rPr>
          <w:rFonts w:ascii="Arial" w:hAnsi="Arial" w:cs="Arial"/>
          <w:sz w:val="22"/>
          <w:szCs w:val="22"/>
          <w:lang w:eastAsia="en-US"/>
        </w:rPr>
        <w:t>. Det</w:t>
      </w:r>
      <w:r w:rsidR="005A46F2" w:rsidRPr="00A9702C">
        <w:rPr>
          <w:rFonts w:ascii="Arial" w:hAnsi="Arial" w:cs="Arial"/>
          <w:sz w:val="22"/>
          <w:szCs w:val="22"/>
          <w:lang w:eastAsia="en-US"/>
        </w:rPr>
        <w:t xml:space="preserve"> svare</w:t>
      </w:r>
      <w:r w:rsidR="00DA43E6">
        <w:rPr>
          <w:rFonts w:ascii="Arial" w:hAnsi="Arial" w:cs="Arial"/>
          <w:sz w:val="22"/>
          <w:szCs w:val="22"/>
          <w:lang w:eastAsia="en-US"/>
        </w:rPr>
        <w:t>r til en befolkningsvækst på 3,2</w:t>
      </w:r>
      <w:r w:rsidR="005A46F2" w:rsidRPr="00A9702C">
        <w:rPr>
          <w:rFonts w:ascii="Arial" w:hAnsi="Arial" w:cs="Arial"/>
          <w:sz w:val="22"/>
          <w:szCs w:val="22"/>
          <w:lang w:eastAsia="en-US"/>
        </w:rPr>
        <w:t xml:space="preserve"> %.</w:t>
      </w:r>
    </w:p>
    <w:p w:rsidR="006D04C4" w:rsidRPr="00A9702C" w:rsidRDefault="006D04C4" w:rsidP="006D04C4">
      <w:pPr>
        <w:pStyle w:val="Normal1"/>
        <w:rPr>
          <w:rFonts w:ascii="Arial" w:hAnsi="Arial" w:cs="Arial"/>
          <w:sz w:val="22"/>
          <w:szCs w:val="22"/>
          <w:lang w:eastAsia="en-US"/>
        </w:rPr>
      </w:pPr>
    </w:p>
    <w:p w:rsidR="00C03F9D" w:rsidRDefault="007B0B03" w:rsidP="009C1B4C">
      <w:pPr>
        <w:pStyle w:val="Normal1"/>
        <w:rPr>
          <w:rFonts w:ascii="Arial" w:hAnsi="Arial" w:cs="Arial"/>
          <w:sz w:val="22"/>
          <w:szCs w:val="22"/>
          <w:lang w:eastAsia="en-US"/>
        </w:rPr>
      </w:pPr>
      <w:r w:rsidRPr="00A9702C">
        <w:rPr>
          <w:rFonts w:ascii="Arial" w:hAnsi="Arial" w:cs="Arial"/>
          <w:sz w:val="22"/>
          <w:szCs w:val="22"/>
          <w:lang w:eastAsia="en-US"/>
        </w:rPr>
        <w:t>Fra 2010 til 2012 var der i kommunen et</w:t>
      </w:r>
      <w:r w:rsidR="006D04C4" w:rsidRPr="00A9702C">
        <w:rPr>
          <w:rFonts w:ascii="Arial" w:hAnsi="Arial" w:cs="Arial"/>
          <w:sz w:val="22"/>
          <w:szCs w:val="22"/>
          <w:lang w:eastAsia="en-US"/>
        </w:rPr>
        <w:t xml:space="preserve"> fødselsunderskud</w:t>
      </w:r>
      <w:r w:rsidRPr="00A9702C">
        <w:rPr>
          <w:rFonts w:ascii="Arial" w:hAnsi="Arial" w:cs="Arial"/>
          <w:sz w:val="22"/>
          <w:szCs w:val="22"/>
          <w:lang w:eastAsia="en-US"/>
        </w:rPr>
        <w:t>. Herefter kom der en mere positiv udvikling til og med 2016 med overskud, hvorefter der kom et fald i 2017 e</w:t>
      </w:r>
      <w:r w:rsidR="00053CC5">
        <w:rPr>
          <w:rFonts w:ascii="Arial" w:hAnsi="Arial" w:cs="Arial"/>
          <w:sz w:val="22"/>
          <w:szCs w:val="22"/>
          <w:lang w:eastAsia="en-US"/>
        </w:rPr>
        <w:t>fterfulgt af et oversk</w:t>
      </w:r>
      <w:r w:rsidR="00384084">
        <w:rPr>
          <w:rFonts w:ascii="Arial" w:hAnsi="Arial" w:cs="Arial"/>
          <w:sz w:val="22"/>
          <w:szCs w:val="22"/>
          <w:lang w:eastAsia="en-US"/>
        </w:rPr>
        <w:t>ud i 2018 og 2019</w:t>
      </w:r>
      <w:r w:rsidR="00053CC5">
        <w:rPr>
          <w:rFonts w:ascii="Arial" w:hAnsi="Arial" w:cs="Arial"/>
          <w:sz w:val="22"/>
          <w:szCs w:val="22"/>
          <w:lang w:eastAsia="en-US"/>
        </w:rPr>
        <w:t>.</w:t>
      </w:r>
      <w:r w:rsidR="006D04C4" w:rsidRPr="00A9702C">
        <w:rPr>
          <w:rFonts w:ascii="Arial" w:hAnsi="Arial" w:cs="Arial"/>
          <w:sz w:val="22"/>
          <w:szCs w:val="22"/>
          <w:lang w:eastAsia="en-US"/>
        </w:rPr>
        <w:t xml:space="preserve"> </w:t>
      </w:r>
      <w:r w:rsidRPr="00A9702C">
        <w:rPr>
          <w:rFonts w:ascii="Arial" w:hAnsi="Arial" w:cs="Arial"/>
          <w:sz w:val="22"/>
          <w:szCs w:val="22"/>
          <w:lang w:eastAsia="en-US"/>
        </w:rPr>
        <w:t>Der har i alle årene på nær 2018</w:t>
      </w:r>
      <w:r w:rsidR="00053CC5">
        <w:rPr>
          <w:rFonts w:ascii="Arial" w:hAnsi="Arial" w:cs="Arial"/>
          <w:sz w:val="22"/>
          <w:szCs w:val="22"/>
          <w:lang w:eastAsia="en-US"/>
        </w:rPr>
        <w:t xml:space="preserve"> og 2019, grundet PCB i Brøndby Strand,</w:t>
      </w:r>
      <w:r w:rsidRPr="00A9702C">
        <w:rPr>
          <w:rFonts w:ascii="Arial" w:hAnsi="Arial" w:cs="Arial"/>
          <w:sz w:val="22"/>
          <w:szCs w:val="22"/>
          <w:lang w:eastAsia="en-US"/>
        </w:rPr>
        <w:t xml:space="preserve"> været en positiv flyttebalance. </w:t>
      </w:r>
      <w:r w:rsidR="006D04C4" w:rsidRPr="00A9702C">
        <w:rPr>
          <w:rFonts w:ascii="Arial" w:hAnsi="Arial" w:cs="Arial"/>
          <w:sz w:val="22"/>
          <w:szCs w:val="22"/>
          <w:lang w:eastAsia="en-US"/>
        </w:rPr>
        <w:t>Disse faktorer trækker</w:t>
      </w:r>
      <w:r w:rsidR="00053CC5">
        <w:rPr>
          <w:rFonts w:ascii="Arial" w:hAnsi="Arial" w:cs="Arial"/>
          <w:sz w:val="22"/>
          <w:szCs w:val="22"/>
          <w:lang w:eastAsia="en-US"/>
        </w:rPr>
        <w:t xml:space="preserve"> overordnet set</w:t>
      </w:r>
      <w:r w:rsidR="006D04C4" w:rsidRPr="005C0E65">
        <w:t xml:space="preserve"> </w:t>
      </w:r>
      <w:r w:rsidR="006D04C4" w:rsidRPr="00A9702C">
        <w:rPr>
          <w:rFonts w:ascii="Arial" w:hAnsi="Arial" w:cs="Arial"/>
          <w:sz w:val="22"/>
          <w:szCs w:val="22"/>
          <w:lang w:eastAsia="en-US"/>
        </w:rPr>
        <w:t>befolkningstallet i en samlet positiv udvikling</w:t>
      </w:r>
      <w:r w:rsidR="00384084">
        <w:rPr>
          <w:rFonts w:ascii="Arial" w:hAnsi="Arial" w:cs="Arial"/>
          <w:sz w:val="22"/>
          <w:szCs w:val="22"/>
          <w:lang w:eastAsia="en-US"/>
        </w:rPr>
        <w:t>.</w:t>
      </w:r>
      <w:r w:rsidR="006D04C4" w:rsidRPr="00A9702C">
        <w:rPr>
          <w:rFonts w:ascii="Arial" w:hAnsi="Arial" w:cs="Arial"/>
          <w:sz w:val="22"/>
          <w:szCs w:val="22"/>
          <w:lang w:eastAsia="en-US"/>
        </w:rPr>
        <w:t xml:space="preserve"> </w:t>
      </w:r>
    </w:p>
    <w:p w:rsidR="00C03F9D" w:rsidRDefault="00C03F9D" w:rsidP="009C1B4C">
      <w:pPr>
        <w:pStyle w:val="Normal1"/>
        <w:rPr>
          <w:rFonts w:ascii="Arial" w:hAnsi="Arial" w:cs="Arial"/>
          <w:sz w:val="22"/>
          <w:szCs w:val="22"/>
          <w:lang w:eastAsia="en-US"/>
        </w:rPr>
      </w:pPr>
    </w:p>
    <w:p w:rsidR="006D04C4" w:rsidRPr="00A9702C" w:rsidRDefault="006D04C4" w:rsidP="009C1B4C">
      <w:pPr>
        <w:pStyle w:val="Normal1"/>
        <w:rPr>
          <w:rFonts w:ascii="Arial" w:hAnsi="Arial" w:cs="Arial"/>
          <w:sz w:val="22"/>
          <w:szCs w:val="22"/>
          <w:lang w:eastAsia="en-US"/>
        </w:rPr>
      </w:pPr>
      <w:r w:rsidRPr="00A9702C">
        <w:rPr>
          <w:rFonts w:ascii="Arial" w:hAnsi="Arial" w:cs="Arial"/>
          <w:sz w:val="22"/>
          <w:szCs w:val="22"/>
          <w:lang w:eastAsia="en-US"/>
        </w:rPr>
        <w:t>Overordnet set, er det flyttebalancen, som har været katalysatoren for det stigende befolkningstal i perioden 2009-2016, mens den dog ikke bidrager til en positiv udvikling fsva. 2017</w:t>
      </w:r>
      <w:r w:rsidR="007B0B03" w:rsidRPr="00A9702C">
        <w:rPr>
          <w:rFonts w:ascii="Arial" w:hAnsi="Arial" w:cs="Arial"/>
          <w:sz w:val="22"/>
          <w:szCs w:val="22"/>
          <w:lang w:eastAsia="en-US"/>
        </w:rPr>
        <w:t xml:space="preserve"> og især 2018</w:t>
      </w:r>
      <w:r w:rsidR="00053CC5">
        <w:rPr>
          <w:rFonts w:ascii="Arial" w:hAnsi="Arial" w:cs="Arial"/>
          <w:sz w:val="22"/>
          <w:szCs w:val="22"/>
          <w:lang w:eastAsia="en-US"/>
        </w:rPr>
        <w:t xml:space="preserve"> og 2019</w:t>
      </w:r>
      <w:r w:rsidRPr="00A9702C">
        <w:rPr>
          <w:rFonts w:ascii="Arial" w:hAnsi="Arial" w:cs="Arial"/>
          <w:sz w:val="22"/>
          <w:szCs w:val="22"/>
          <w:lang w:eastAsia="en-US"/>
        </w:rPr>
        <w:t xml:space="preserve">. At flyttebalancen har været katalysator for det stigende befolkningstal frem til 2016 kan hænge sammen med to faktorer; nemlig boligbyggeriet og udtynding/fortætning i den eksisterende boligmasse. </w:t>
      </w:r>
    </w:p>
    <w:p w:rsidR="006D04C4" w:rsidRPr="00D30D29" w:rsidRDefault="006D04C4" w:rsidP="006D04C4">
      <w:pPr>
        <w:pStyle w:val="Normal1"/>
        <w:rPr>
          <w:highlight w:val="yellow"/>
        </w:rPr>
      </w:pPr>
    </w:p>
    <w:p w:rsidR="006D04C4" w:rsidRPr="004A03EE" w:rsidRDefault="006D04C4" w:rsidP="006D04C4">
      <w:pPr>
        <w:pStyle w:val="Billedtekst"/>
        <w:rPr>
          <w:rFonts w:ascii="Arial" w:hAnsi="Arial" w:cs="Arial"/>
          <w:b/>
          <w:szCs w:val="18"/>
        </w:rPr>
      </w:pPr>
      <w:r w:rsidRPr="004A03EE">
        <w:rPr>
          <w:rFonts w:ascii="Arial" w:hAnsi="Arial" w:cs="Arial"/>
          <w:b/>
          <w:szCs w:val="18"/>
        </w:rPr>
        <w:t xml:space="preserve">Tabel </w:t>
      </w:r>
      <w:r w:rsidR="007B7B74">
        <w:rPr>
          <w:rFonts w:ascii="Arial" w:hAnsi="Arial" w:cs="Arial"/>
          <w:b/>
          <w:szCs w:val="18"/>
        </w:rPr>
        <w:t>3</w:t>
      </w:r>
      <w:r w:rsidRPr="004A03EE">
        <w:rPr>
          <w:rFonts w:ascii="Arial" w:hAnsi="Arial" w:cs="Arial"/>
          <w:b/>
          <w:szCs w:val="18"/>
        </w:rPr>
        <w:t xml:space="preserve">. </w:t>
      </w:r>
      <w:r w:rsidRPr="004A03EE">
        <w:rPr>
          <w:rFonts w:ascii="Arial" w:hAnsi="Arial" w:cs="Arial"/>
          <w:szCs w:val="18"/>
        </w:rPr>
        <w:t>Befolkninge</w:t>
      </w:r>
      <w:r w:rsidR="009565C3">
        <w:rPr>
          <w:rFonts w:ascii="Arial" w:hAnsi="Arial" w:cs="Arial"/>
          <w:szCs w:val="18"/>
        </w:rPr>
        <w:t>ns bevægelser fra 2011-2019</w:t>
      </w:r>
      <w:r w:rsidRPr="004A03EE">
        <w:rPr>
          <w:rFonts w:ascii="Arial" w:hAnsi="Arial" w:cs="Arial"/>
          <w:szCs w:val="18"/>
        </w:rPr>
        <w:t>.</w:t>
      </w:r>
      <w:r w:rsidRPr="004A03EE">
        <w:rPr>
          <w:rFonts w:ascii="Arial" w:hAnsi="Arial" w:cs="Arial"/>
          <w:b/>
          <w:szCs w:val="18"/>
        </w:rPr>
        <w:t xml:space="preserve"> </w:t>
      </w:r>
    </w:p>
    <w:tbl>
      <w:tblPr>
        <w:tblW w:w="5000" w:type="pct"/>
        <w:tblCellMar>
          <w:left w:w="70" w:type="dxa"/>
          <w:right w:w="70" w:type="dxa"/>
        </w:tblCellMar>
        <w:tblLook w:val="04A0" w:firstRow="1" w:lastRow="0" w:firstColumn="1" w:lastColumn="0" w:noHBand="0" w:noVBand="1"/>
      </w:tblPr>
      <w:tblGrid>
        <w:gridCol w:w="1831"/>
        <w:gridCol w:w="868"/>
        <w:gridCol w:w="868"/>
        <w:gridCol w:w="868"/>
        <w:gridCol w:w="868"/>
        <w:gridCol w:w="868"/>
        <w:gridCol w:w="869"/>
        <w:gridCol w:w="869"/>
        <w:gridCol w:w="869"/>
        <w:gridCol w:w="861"/>
      </w:tblGrid>
      <w:tr w:rsidR="009565C3" w:rsidRPr="00C0225E" w:rsidTr="009565C3">
        <w:trPr>
          <w:trHeight w:val="300"/>
        </w:trPr>
        <w:tc>
          <w:tcPr>
            <w:tcW w:w="792"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rPr>
                <w:rFonts w:cs="Arial"/>
                <w:color w:val="000000"/>
                <w:sz w:val="18"/>
                <w:szCs w:val="18"/>
              </w:rPr>
            </w:pPr>
            <w:r w:rsidRPr="00C0225E">
              <w:rPr>
                <w:rFonts w:cs="Arial"/>
                <w:color w:val="000000"/>
                <w:sz w:val="18"/>
                <w:szCs w:val="18"/>
              </w:rPr>
              <w:t> </w:t>
            </w:r>
          </w:p>
        </w:tc>
        <w:tc>
          <w:tcPr>
            <w:tcW w:w="468"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2011</w:t>
            </w:r>
          </w:p>
        </w:tc>
        <w:tc>
          <w:tcPr>
            <w:tcW w:w="468"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2012</w:t>
            </w:r>
          </w:p>
        </w:tc>
        <w:tc>
          <w:tcPr>
            <w:tcW w:w="468"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2013</w:t>
            </w:r>
          </w:p>
        </w:tc>
        <w:tc>
          <w:tcPr>
            <w:tcW w:w="468"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2014</w:t>
            </w:r>
          </w:p>
        </w:tc>
        <w:tc>
          <w:tcPr>
            <w:tcW w:w="468"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2015</w:t>
            </w:r>
          </w:p>
        </w:tc>
        <w:tc>
          <w:tcPr>
            <w:tcW w:w="468"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2016</w:t>
            </w:r>
          </w:p>
        </w:tc>
        <w:tc>
          <w:tcPr>
            <w:tcW w:w="468"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2017</w:t>
            </w:r>
          </w:p>
        </w:tc>
        <w:tc>
          <w:tcPr>
            <w:tcW w:w="468"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2018</w:t>
            </w:r>
          </w:p>
        </w:tc>
        <w:tc>
          <w:tcPr>
            <w:tcW w:w="468" w:type="pct"/>
            <w:tcBorders>
              <w:top w:val="single" w:sz="4" w:space="0" w:color="auto"/>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2019</w:t>
            </w:r>
          </w:p>
        </w:tc>
      </w:tr>
      <w:tr w:rsidR="009565C3" w:rsidRPr="00C0225E" w:rsidTr="009565C3">
        <w:trPr>
          <w:trHeight w:val="300"/>
        </w:trPr>
        <w:tc>
          <w:tcPr>
            <w:tcW w:w="792" w:type="pct"/>
            <w:tcBorders>
              <w:top w:val="nil"/>
              <w:left w:val="nil"/>
              <w:bottom w:val="single" w:sz="4" w:space="0" w:color="auto"/>
              <w:right w:val="nil"/>
            </w:tcBorders>
            <w:shd w:val="clear" w:color="auto" w:fill="auto"/>
            <w:noWrap/>
            <w:vAlign w:val="bottom"/>
            <w:hideMark/>
          </w:tcPr>
          <w:p w:rsidR="009565C3" w:rsidRPr="00C0225E" w:rsidRDefault="009565C3" w:rsidP="009565C3">
            <w:pPr>
              <w:rPr>
                <w:rFonts w:cs="Arial"/>
                <w:b/>
                <w:bCs/>
                <w:color w:val="000000"/>
                <w:sz w:val="18"/>
                <w:szCs w:val="18"/>
              </w:rPr>
            </w:pPr>
            <w:r w:rsidRPr="00C0225E">
              <w:rPr>
                <w:rFonts w:cs="Arial"/>
                <w:b/>
                <w:bCs/>
                <w:color w:val="000000"/>
                <w:sz w:val="18"/>
                <w:szCs w:val="18"/>
              </w:rPr>
              <w:lastRenderedPageBreak/>
              <w:t>Befolkningen primo</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33.995</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34.078</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34.215</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34.581</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35.048</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35.327</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35.601</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35.541</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35.393</w:t>
            </w:r>
          </w:p>
        </w:tc>
      </w:tr>
      <w:tr w:rsidR="009565C3" w:rsidRPr="00C0225E" w:rsidTr="009565C3">
        <w:trPr>
          <w:trHeight w:val="300"/>
        </w:trPr>
        <w:tc>
          <w:tcPr>
            <w:tcW w:w="792" w:type="pct"/>
            <w:tcBorders>
              <w:top w:val="nil"/>
              <w:left w:val="nil"/>
              <w:bottom w:val="nil"/>
              <w:right w:val="nil"/>
            </w:tcBorders>
            <w:shd w:val="clear" w:color="auto" w:fill="auto"/>
            <w:noWrap/>
            <w:vAlign w:val="bottom"/>
            <w:hideMark/>
          </w:tcPr>
          <w:p w:rsidR="009565C3" w:rsidRPr="00C0225E" w:rsidRDefault="009565C3" w:rsidP="009565C3">
            <w:pPr>
              <w:rPr>
                <w:rFonts w:cs="Arial"/>
                <w:color w:val="000000"/>
                <w:sz w:val="18"/>
                <w:szCs w:val="18"/>
              </w:rPr>
            </w:pPr>
            <w:r w:rsidRPr="00C0225E">
              <w:rPr>
                <w:rFonts w:cs="Arial"/>
                <w:color w:val="000000"/>
                <w:sz w:val="18"/>
                <w:szCs w:val="18"/>
              </w:rPr>
              <w:t>Fødsler</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355</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347</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364</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399</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394</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423</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388</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410</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396</w:t>
            </w:r>
          </w:p>
        </w:tc>
      </w:tr>
      <w:tr w:rsidR="009565C3" w:rsidRPr="00C0225E" w:rsidTr="009565C3">
        <w:trPr>
          <w:trHeight w:val="300"/>
        </w:trPr>
        <w:tc>
          <w:tcPr>
            <w:tcW w:w="792" w:type="pct"/>
            <w:tcBorders>
              <w:top w:val="nil"/>
              <w:left w:val="nil"/>
              <w:bottom w:val="nil"/>
              <w:right w:val="nil"/>
            </w:tcBorders>
            <w:shd w:val="clear" w:color="auto" w:fill="auto"/>
            <w:noWrap/>
            <w:vAlign w:val="bottom"/>
            <w:hideMark/>
          </w:tcPr>
          <w:p w:rsidR="009565C3" w:rsidRPr="00C0225E" w:rsidRDefault="009565C3" w:rsidP="009565C3">
            <w:pPr>
              <w:rPr>
                <w:rFonts w:cs="Arial"/>
                <w:color w:val="000000"/>
                <w:sz w:val="18"/>
                <w:szCs w:val="18"/>
              </w:rPr>
            </w:pPr>
            <w:r w:rsidRPr="00C0225E">
              <w:rPr>
                <w:rFonts w:cs="Arial"/>
                <w:color w:val="000000"/>
                <w:sz w:val="18"/>
                <w:szCs w:val="18"/>
              </w:rPr>
              <w:t>Dødsfald</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378</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379</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348</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325</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356</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370</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408</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350</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392</w:t>
            </w:r>
          </w:p>
        </w:tc>
      </w:tr>
      <w:tr w:rsidR="009565C3" w:rsidRPr="00C0225E" w:rsidTr="009565C3">
        <w:trPr>
          <w:trHeight w:val="300"/>
        </w:trPr>
        <w:tc>
          <w:tcPr>
            <w:tcW w:w="792" w:type="pct"/>
            <w:tcBorders>
              <w:top w:val="nil"/>
              <w:left w:val="nil"/>
              <w:bottom w:val="single" w:sz="4" w:space="0" w:color="auto"/>
              <w:right w:val="nil"/>
            </w:tcBorders>
            <w:shd w:val="clear" w:color="auto" w:fill="auto"/>
            <w:noWrap/>
            <w:vAlign w:val="bottom"/>
            <w:hideMark/>
          </w:tcPr>
          <w:p w:rsidR="009565C3" w:rsidRPr="00C0225E" w:rsidRDefault="009565C3" w:rsidP="009565C3">
            <w:pPr>
              <w:rPr>
                <w:rFonts w:cs="Arial"/>
                <w:b/>
                <w:bCs/>
                <w:color w:val="000000"/>
                <w:sz w:val="18"/>
                <w:szCs w:val="18"/>
              </w:rPr>
            </w:pPr>
            <w:r w:rsidRPr="00C0225E">
              <w:rPr>
                <w:rFonts w:cs="Arial"/>
                <w:b/>
                <w:bCs/>
                <w:color w:val="000000"/>
                <w:sz w:val="18"/>
                <w:szCs w:val="18"/>
              </w:rPr>
              <w:t>Fødselsoverskud</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-23</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-32</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16</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74</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38</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53</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-20</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60</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4</w:t>
            </w:r>
          </w:p>
        </w:tc>
      </w:tr>
      <w:tr w:rsidR="009565C3" w:rsidRPr="00C0225E" w:rsidTr="009565C3">
        <w:trPr>
          <w:trHeight w:val="300"/>
        </w:trPr>
        <w:tc>
          <w:tcPr>
            <w:tcW w:w="792" w:type="pct"/>
            <w:tcBorders>
              <w:top w:val="nil"/>
              <w:left w:val="nil"/>
              <w:bottom w:val="nil"/>
              <w:right w:val="nil"/>
            </w:tcBorders>
            <w:shd w:val="clear" w:color="auto" w:fill="auto"/>
            <w:noWrap/>
            <w:vAlign w:val="bottom"/>
            <w:hideMark/>
          </w:tcPr>
          <w:p w:rsidR="009565C3" w:rsidRPr="00C0225E" w:rsidRDefault="009565C3" w:rsidP="009565C3">
            <w:pPr>
              <w:rPr>
                <w:rFonts w:cs="Arial"/>
                <w:color w:val="000000"/>
                <w:sz w:val="18"/>
                <w:szCs w:val="18"/>
              </w:rPr>
            </w:pPr>
            <w:r w:rsidRPr="00C0225E">
              <w:rPr>
                <w:rFonts w:cs="Arial"/>
                <w:color w:val="000000"/>
                <w:sz w:val="18"/>
                <w:szCs w:val="18"/>
              </w:rPr>
              <w:t>Tilflyttere</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2.264</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2.361</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2.627</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2.807</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2.864</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2.957</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2.915</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2.929</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2.738</w:t>
            </w:r>
          </w:p>
        </w:tc>
      </w:tr>
      <w:tr w:rsidR="009565C3" w:rsidRPr="00C0225E" w:rsidTr="009565C3">
        <w:trPr>
          <w:trHeight w:val="300"/>
        </w:trPr>
        <w:tc>
          <w:tcPr>
            <w:tcW w:w="792" w:type="pct"/>
            <w:tcBorders>
              <w:top w:val="nil"/>
              <w:left w:val="nil"/>
              <w:bottom w:val="nil"/>
              <w:right w:val="nil"/>
            </w:tcBorders>
            <w:shd w:val="clear" w:color="auto" w:fill="auto"/>
            <w:noWrap/>
            <w:vAlign w:val="bottom"/>
            <w:hideMark/>
          </w:tcPr>
          <w:p w:rsidR="009565C3" w:rsidRPr="00C0225E" w:rsidRDefault="009565C3" w:rsidP="009565C3">
            <w:pPr>
              <w:rPr>
                <w:rFonts w:cs="Arial"/>
                <w:color w:val="000000"/>
                <w:sz w:val="18"/>
                <w:szCs w:val="18"/>
              </w:rPr>
            </w:pPr>
            <w:r w:rsidRPr="00C0225E">
              <w:rPr>
                <w:rFonts w:cs="Arial"/>
                <w:color w:val="000000"/>
                <w:sz w:val="18"/>
                <w:szCs w:val="18"/>
              </w:rPr>
              <w:t>Fraflyttere</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2.161</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2.194</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2.270</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2.405</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2.616</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2.718</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2.911</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3.115</w:t>
            </w:r>
          </w:p>
        </w:tc>
        <w:tc>
          <w:tcPr>
            <w:tcW w:w="468" w:type="pct"/>
            <w:tcBorders>
              <w:top w:val="nil"/>
              <w:left w:val="nil"/>
              <w:bottom w:val="nil"/>
              <w:right w:val="nil"/>
            </w:tcBorders>
            <w:shd w:val="clear" w:color="auto" w:fill="auto"/>
            <w:noWrap/>
            <w:vAlign w:val="bottom"/>
            <w:hideMark/>
          </w:tcPr>
          <w:p w:rsidR="009565C3" w:rsidRPr="00C0225E" w:rsidRDefault="009565C3" w:rsidP="009565C3">
            <w:pPr>
              <w:jc w:val="right"/>
              <w:rPr>
                <w:rFonts w:cs="Arial"/>
                <w:color w:val="000000"/>
                <w:sz w:val="18"/>
                <w:szCs w:val="18"/>
              </w:rPr>
            </w:pPr>
            <w:r w:rsidRPr="00C0225E">
              <w:rPr>
                <w:rFonts w:cs="Arial"/>
                <w:color w:val="000000"/>
                <w:sz w:val="18"/>
                <w:szCs w:val="18"/>
              </w:rPr>
              <w:t>3.035</w:t>
            </w:r>
          </w:p>
        </w:tc>
      </w:tr>
      <w:tr w:rsidR="009565C3" w:rsidRPr="00C0225E" w:rsidTr="009565C3">
        <w:trPr>
          <w:trHeight w:val="300"/>
        </w:trPr>
        <w:tc>
          <w:tcPr>
            <w:tcW w:w="792" w:type="pct"/>
            <w:tcBorders>
              <w:top w:val="nil"/>
              <w:left w:val="nil"/>
              <w:bottom w:val="single" w:sz="4" w:space="0" w:color="auto"/>
              <w:right w:val="nil"/>
            </w:tcBorders>
            <w:shd w:val="clear" w:color="auto" w:fill="auto"/>
            <w:noWrap/>
            <w:vAlign w:val="bottom"/>
            <w:hideMark/>
          </w:tcPr>
          <w:p w:rsidR="009565C3" w:rsidRPr="00C0225E" w:rsidRDefault="009565C3" w:rsidP="009565C3">
            <w:pPr>
              <w:rPr>
                <w:rFonts w:cs="Arial"/>
                <w:b/>
                <w:bCs/>
                <w:color w:val="000000"/>
                <w:sz w:val="18"/>
                <w:szCs w:val="18"/>
              </w:rPr>
            </w:pPr>
            <w:r w:rsidRPr="00C0225E">
              <w:rPr>
                <w:rFonts w:cs="Arial"/>
                <w:b/>
                <w:bCs/>
                <w:color w:val="000000"/>
                <w:sz w:val="18"/>
                <w:szCs w:val="18"/>
              </w:rPr>
              <w:t>Flyttebalance</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103</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167</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357</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402</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248</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239</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4</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-186</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-297</w:t>
            </w:r>
          </w:p>
        </w:tc>
      </w:tr>
      <w:tr w:rsidR="009565C3" w:rsidRPr="00C0225E" w:rsidTr="009565C3">
        <w:trPr>
          <w:trHeight w:val="300"/>
        </w:trPr>
        <w:tc>
          <w:tcPr>
            <w:tcW w:w="792" w:type="pct"/>
            <w:tcBorders>
              <w:top w:val="nil"/>
              <w:left w:val="nil"/>
              <w:bottom w:val="single" w:sz="4" w:space="0" w:color="auto"/>
              <w:right w:val="nil"/>
            </w:tcBorders>
            <w:shd w:val="clear" w:color="auto" w:fill="auto"/>
            <w:noWrap/>
            <w:vAlign w:val="bottom"/>
            <w:hideMark/>
          </w:tcPr>
          <w:p w:rsidR="009565C3" w:rsidRPr="00C0225E" w:rsidRDefault="009565C3" w:rsidP="009565C3">
            <w:pPr>
              <w:rPr>
                <w:rFonts w:cs="Arial"/>
                <w:b/>
                <w:bCs/>
                <w:color w:val="000000"/>
                <w:sz w:val="18"/>
                <w:szCs w:val="18"/>
              </w:rPr>
            </w:pPr>
            <w:r w:rsidRPr="00C0225E">
              <w:rPr>
                <w:rFonts w:cs="Arial"/>
                <w:b/>
                <w:bCs/>
                <w:color w:val="000000"/>
                <w:sz w:val="18"/>
                <w:szCs w:val="18"/>
              </w:rPr>
              <w:t>Korrektioner</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-7</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-9</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-7</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-18</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-44</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-22</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-6</w:t>
            </w:r>
          </w:p>
        </w:tc>
      </w:tr>
      <w:tr w:rsidR="009565C3" w:rsidRPr="00C0225E" w:rsidTr="009565C3">
        <w:trPr>
          <w:trHeight w:val="300"/>
        </w:trPr>
        <w:tc>
          <w:tcPr>
            <w:tcW w:w="792" w:type="pct"/>
            <w:tcBorders>
              <w:top w:val="nil"/>
              <w:left w:val="nil"/>
              <w:bottom w:val="single" w:sz="4" w:space="0" w:color="auto"/>
              <w:right w:val="nil"/>
            </w:tcBorders>
            <w:shd w:val="clear" w:color="auto" w:fill="auto"/>
            <w:noWrap/>
            <w:vAlign w:val="bottom"/>
            <w:hideMark/>
          </w:tcPr>
          <w:p w:rsidR="009565C3" w:rsidRPr="00C0225E" w:rsidRDefault="009565C3" w:rsidP="009565C3">
            <w:pPr>
              <w:rPr>
                <w:rFonts w:cs="Arial"/>
                <w:b/>
                <w:bCs/>
                <w:color w:val="000000"/>
                <w:sz w:val="18"/>
                <w:szCs w:val="18"/>
              </w:rPr>
            </w:pPr>
            <w:r w:rsidRPr="00C0225E">
              <w:rPr>
                <w:rFonts w:cs="Arial"/>
                <w:b/>
                <w:bCs/>
                <w:color w:val="000000"/>
                <w:sz w:val="18"/>
                <w:szCs w:val="18"/>
              </w:rPr>
              <w:t>Samlet udvikling</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83</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137</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366</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467</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279</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274</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-60</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-148</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-299</w:t>
            </w:r>
          </w:p>
        </w:tc>
      </w:tr>
      <w:tr w:rsidR="009565C3" w:rsidRPr="00C0225E" w:rsidTr="009565C3">
        <w:trPr>
          <w:trHeight w:val="300"/>
        </w:trPr>
        <w:tc>
          <w:tcPr>
            <w:tcW w:w="792" w:type="pct"/>
            <w:tcBorders>
              <w:top w:val="nil"/>
              <w:left w:val="nil"/>
              <w:bottom w:val="single" w:sz="4" w:space="0" w:color="auto"/>
              <w:right w:val="nil"/>
            </w:tcBorders>
            <w:shd w:val="clear" w:color="auto" w:fill="auto"/>
            <w:noWrap/>
            <w:vAlign w:val="bottom"/>
            <w:hideMark/>
          </w:tcPr>
          <w:p w:rsidR="009565C3" w:rsidRPr="00C0225E" w:rsidRDefault="009565C3" w:rsidP="009565C3">
            <w:pPr>
              <w:rPr>
                <w:rFonts w:cs="Arial"/>
                <w:color w:val="000000"/>
                <w:sz w:val="18"/>
                <w:szCs w:val="18"/>
              </w:rPr>
            </w:pPr>
            <w:r w:rsidRPr="00C0225E">
              <w:rPr>
                <w:rFonts w:cs="Arial"/>
                <w:color w:val="000000"/>
                <w:sz w:val="18"/>
                <w:szCs w:val="18"/>
              </w:rPr>
              <w:t>Befolkningen ultimo</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34.078</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34.215</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34.581</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35.048</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35.327</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35.601</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35.541</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35.393</w:t>
            </w:r>
          </w:p>
        </w:tc>
        <w:tc>
          <w:tcPr>
            <w:tcW w:w="468" w:type="pct"/>
            <w:tcBorders>
              <w:top w:val="nil"/>
              <w:left w:val="nil"/>
              <w:bottom w:val="single" w:sz="4" w:space="0" w:color="auto"/>
              <w:right w:val="nil"/>
            </w:tcBorders>
            <w:shd w:val="clear" w:color="auto" w:fill="auto"/>
            <w:noWrap/>
            <w:vAlign w:val="bottom"/>
            <w:hideMark/>
          </w:tcPr>
          <w:p w:rsidR="009565C3" w:rsidRPr="00C0225E" w:rsidRDefault="009565C3" w:rsidP="009565C3">
            <w:pPr>
              <w:jc w:val="right"/>
              <w:rPr>
                <w:rFonts w:cs="Arial"/>
                <w:b/>
                <w:bCs/>
                <w:color w:val="000000"/>
                <w:sz w:val="18"/>
                <w:szCs w:val="18"/>
              </w:rPr>
            </w:pPr>
            <w:r w:rsidRPr="00C0225E">
              <w:rPr>
                <w:rFonts w:cs="Arial"/>
                <w:b/>
                <w:bCs/>
                <w:color w:val="000000"/>
                <w:sz w:val="18"/>
                <w:szCs w:val="18"/>
              </w:rPr>
              <w:t>35.094</w:t>
            </w:r>
          </w:p>
        </w:tc>
      </w:tr>
    </w:tbl>
    <w:p w:rsidR="006D04C4" w:rsidRPr="00D30D29" w:rsidRDefault="006D04C4" w:rsidP="006D04C4">
      <w:pPr>
        <w:rPr>
          <w:rFonts w:asciiTheme="minorHAnsi" w:hAnsiTheme="minorHAnsi" w:cstheme="minorHAnsi"/>
          <w:sz w:val="16"/>
          <w:szCs w:val="16"/>
          <w:highlight w:val="yellow"/>
        </w:rPr>
      </w:pPr>
    </w:p>
    <w:p w:rsidR="006D04C4" w:rsidRPr="00C56E45" w:rsidRDefault="006D04C4" w:rsidP="006D04C4">
      <w:pPr>
        <w:pStyle w:val="Overskrift2"/>
        <w:keepLines w:val="0"/>
        <w:numPr>
          <w:ilvl w:val="1"/>
          <w:numId w:val="5"/>
        </w:numPr>
        <w:spacing w:before="240" w:after="60"/>
        <w:jc w:val="both"/>
      </w:pPr>
      <w:bookmarkStart w:id="11" w:name="_Toc38355998"/>
      <w:r w:rsidRPr="00C56E45">
        <w:t>Befolkningens udvikling sammenlignet med andre kommuner</w:t>
      </w:r>
      <w:bookmarkEnd w:id="11"/>
    </w:p>
    <w:p w:rsidR="006D04C4" w:rsidRPr="00A9702C" w:rsidRDefault="006D04C4" w:rsidP="006D04C4">
      <w:pPr>
        <w:pStyle w:val="Normal1"/>
        <w:rPr>
          <w:rFonts w:ascii="Arial" w:hAnsi="Arial" w:cs="Arial"/>
          <w:sz w:val="22"/>
          <w:szCs w:val="22"/>
          <w:lang w:eastAsia="en-US"/>
        </w:rPr>
      </w:pPr>
      <w:r w:rsidRPr="00A9702C">
        <w:rPr>
          <w:rFonts w:ascii="Arial" w:hAnsi="Arial" w:cs="Arial"/>
          <w:sz w:val="22"/>
          <w:szCs w:val="22"/>
          <w:lang w:eastAsia="en-US"/>
        </w:rPr>
        <w:t xml:space="preserve">I figur 3 nedenfor sammenholdes udviklingen i befolkningstallet i Brøndby Kommune fra 1993 til </w:t>
      </w:r>
      <w:r w:rsidR="00923039" w:rsidRPr="00A9702C">
        <w:rPr>
          <w:rFonts w:ascii="Arial" w:hAnsi="Arial" w:cs="Arial"/>
          <w:sz w:val="22"/>
          <w:szCs w:val="22"/>
          <w:lang w:eastAsia="en-US"/>
        </w:rPr>
        <w:t>slutningen</w:t>
      </w:r>
      <w:r w:rsidR="003A3F9F">
        <w:rPr>
          <w:rFonts w:ascii="Arial" w:hAnsi="Arial" w:cs="Arial"/>
          <w:sz w:val="22"/>
          <w:szCs w:val="22"/>
          <w:lang w:eastAsia="en-US"/>
        </w:rPr>
        <w:t xml:space="preserve"> af 2019</w:t>
      </w:r>
      <w:r w:rsidRPr="00A9702C">
        <w:rPr>
          <w:rFonts w:ascii="Arial" w:hAnsi="Arial" w:cs="Arial"/>
          <w:sz w:val="22"/>
          <w:szCs w:val="22"/>
          <w:lang w:eastAsia="en-US"/>
        </w:rPr>
        <w:t xml:space="preserve"> med udviklingen i en række udvalgte kommuner, som er sammenlignelige med Brøndby, og/eller har en stor betydning for udviklingen i og omkring Brøndby.</w:t>
      </w:r>
    </w:p>
    <w:p w:rsidR="006D04C4" w:rsidRDefault="006D04C4" w:rsidP="006D04C4">
      <w:pPr>
        <w:pStyle w:val="Normal1"/>
        <w:rPr>
          <w:highlight w:val="yellow"/>
        </w:rPr>
      </w:pPr>
    </w:p>
    <w:p w:rsidR="00C03F9D" w:rsidRDefault="00C03F9D" w:rsidP="006D04C4">
      <w:pPr>
        <w:pStyle w:val="Normal1"/>
        <w:rPr>
          <w:highlight w:val="yellow"/>
        </w:rPr>
      </w:pPr>
    </w:p>
    <w:p w:rsidR="00C03F9D" w:rsidRDefault="00C03F9D" w:rsidP="006D04C4">
      <w:pPr>
        <w:pStyle w:val="Normal1"/>
        <w:rPr>
          <w:highlight w:val="yellow"/>
        </w:rPr>
      </w:pPr>
    </w:p>
    <w:p w:rsidR="00C03F9D" w:rsidRDefault="00C03F9D" w:rsidP="006D04C4">
      <w:pPr>
        <w:pStyle w:val="Normal1"/>
        <w:rPr>
          <w:highlight w:val="yellow"/>
        </w:rPr>
      </w:pPr>
    </w:p>
    <w:p w:rsidR="00C03F9D" w:rsidRDefault="00C03F9D" w:rsidP="006D04C4">
      <w:pPr>
        <w:pStyle w:val="Normal1"/>
        <w:rPr>
          <w:highlight w:val="yellow"/>
        </w:rPr>
      </w:pPr>
    </w:p>
    <w:p w:rsidR="00C03F9D" w:rsidRDefault="00C03F9D" w:rsidP="006D04C4">
      <w:pPr>
        <w:pStyle w:val="Normal1"/>
        <w:rPr>
          <w:highlight w:val="yellow"/>
        </w:rPr>
      </w:pPr>
    </w:p>
    <w:p w:rsidR="003A3F9F" w:rsidRDefault="003A3F9F" w:rsidP="006D04C4">
      <w:pPr>
        <w:pStyle w:val="Normal1"/>
        <w:rPr>
          <w:highlight w:val="yellow"/>
        </w:rPr>
      </w:pPr>
    </w:p>
    <w:p w:rsidR="003A3F9F" w:rsidRDefault="003A3F9F" w:rsidP="006D04C4">
      <w:pPr>
        <w:pStyle w:val="Normal1"/>
        <w:rPr>
          <w:highlight w:val="yellow"/>
        </w:rPr>
      </w:pPr>
    </w:p>
    <w:p w:rsidR="003A3F9F" w:rsidRDefault="003A3F9F" w:rsidP="006D04C4">
      <w:pPr>
        <w:pStyle w:val="Normal1"/>
        <w:rPr>
          <w:highlight w:val="yellow"/>
        </w:rPr>
      </w:pPr>
    </w:p>
    <w:p w:rsidR="003A3F9F" w:rsidRDefault="003A3F9F" w:rsidP="006D04C4">
      <w:pPr>
        <w:pStyle w:val="Normal1"/>
        <w:rPr>
          <w:highlight w:val="yellow"/>
        </w:rPr>
      </w:pPr>
    </w:p>
    <w:p w:rsidR="003A3F9F" w:rsidRDefault="003A3F9F" w:rsidP="006D04C4">
      <w:pPr>
        <w:pStyle w:val="Normal1"/>
        <w:rPr>
          <w:highlight w:val="yellow"/>
        </w:rPr>
      </w:pPr>
    </w:p>
    <w:p w:rsidR="003A3F9F" w:rsidRDefault="003A3F9F" w:rsidP="006D04C4">
      <w:pPr>
        <w:pStyle w:val="Normal1"/>
        <w:rPr>
          <w:highlight w:val="yellow"/>
        </w:rPr>
      </w:pPr>
    </w:p>
    <w:p w:rsidR="003A3F9F" w:rsidRDefault="003A3F9F" w:rsidP="006D04C4">
      <w:pPr>
        <w:pStyle w:val="Normal1"/>
        <w:rPr>
          <w:highlight w:val="yellow"/>
        </w:rPr>
      </w:pPr>
    </w:p>
    <w:p w:rsidR="00C03F9D" w:rsidRPr="00D30D29" w:rsidRDefault="00C03F9D" w:rsidP="006D04C4">
      <w:pPr>
        <w:pStyle w:val="Normal1"/>
        <w:rPr>
          <w:highlight w:val="yellow"/>
        </w:rPr>
      </w:pPr>
    </w:p>
    <w:p w:rsidR="006D04C4" w:rsidRPr="004A03EE" w:rsidRDefault="006D04C4" w:rsidP="006D04C4">
      <w:pPr>
        <w:pStyle w:val="Billedtekst"/>
        <w:rPr>
          <w:rFonts w:ascii="Arial" w:hAnsi="Arial" w:cs="Arial"/>
        </w:rPr>
      </w:pPr>
      <w:r w:rsidRPr="004A03EE">
        <w:rPr>
          <w:rFonts w:ascii="Arial" w:hAnsi="Arial" w:cs="Arial"/>
          <w:b/>
        </w:rPr>
        <w:t xml:space="preserve">Figur </w:t>
      </w:r>
      <w:r w:rsidRPr="004A03EE">
        <w:rPr>
          <w:rFonts w:ascii="Arial" w:hAnsi="Arial" w:cs="Arial"/>
          <w:b/>
        </w:rPr>
        <w:fldChar w:fldCharType="begin"/>
      </w:r>
      <w:r w:rsidRPr="004A03EE">
        <w:rPr>
          <w:rFonts w:ascii="Arial" w:hAnsi="Arial" w:cs="Arial"/>
          <w:b/>
        </w:rPr>
        <w:instrText xml:space="preserve"> SEQ Figur \* ARABIC </w:instrText>
      </w:r>
      <w:r w:rsidRPr="004A03EE">
        <w:rPr>
          <w:rFonts w:ascii="Arial" w:hAnsi="Arial" w:cs="Arial"/>
          <w:b/>
        </w:rPr>
        <w:fldChar w:fldCharType="separate"/>
      </w:r>
      <w:r w:rsidR="00313F67">
        <w:rPr>
          <w:rFonts w:ascii="Arial" w:hAnsi="Arial" w:cs="Arial"/>
          <w:b/>
          <w:noProof/>
        </w:rPr>
        <w:t>3</w:t>
      </w:r>
      <w:r w:rsidRPr="004A03EE">
        <w:rPr>
          <w:rFonts w:ascii="Arial" w:hAnsi="Arial" w:cs="Arial"/>
          <w:b/>
        </w:rPr>
        <w:fldChar w:fldCharType="end"/>
      </w:r>
      <w:r w:rsidRPr="004A03EE">
        <w:rPr>
          <w:rFonts w:ascii="Arial" w:hAnsi="Arial" w:cs="Arial"/>
          <w:b/>
        </w:rPr>
        <w:t>.</w:t>
      </w:r>
      <w:r w:rsidRPr="004A03EE">
        <w:rPr>
          <w:rFonts w:ascii="Arial" w:hAnsi="Arial" w:cs="Arial"/>
        </w:rPr>
        <w:t xml:space="preserve"> Udvikling i samlet indbyggertal i udvalgte kommuner i pe</w:t>
      </w:r>
      <w:r w:rsidR="003A3F9F">
        <w:rPr>
          <w:rFonts w:ascii="Arial" w:hAnsi="Arial" w:cs="Arial"/>
        </w:rPr>
        <w:t>rioden 1993-2019</w:t>
      </w:r>
      <w:r w:rsidRPr="004A03EE">
        <w:rPr>
          <w:rFonts w:ascii="Arial" w:hAnsi="Arial" w:cs="Arial"/>
        </w:rPr>
        <w:t>.</w:t>
      </w:r>
    </w:p>
    <w:p w:rsidR="006D04C4" w:rsidRPr="00D30D29" w:rsidRDefault="003A3F9F" w:rsidP="006D04C4">
      <w:pPr>
        <w:pStyle w:val="Normal1"/>
        <w:rPr>
          <w:noProof/>
          <w:highlight w:val="yellow"/>
        </w:rPr>
      </w:pPr>
      <w:r>
        <w:rPr>
          <w:noProof/>
        </w:rPr>
        <w:lastRenderedPageBreak/>
        <w:drawing>
          <wp:inline distT="0" distB="0" distL="0" distR="0" wp14:anchorId="33FCE711" wp14:editId="5EA98347">
            <wp:extent cx="6120765" cy="3328670"/>
            <wp:effectExtent l="0" t="0" r="0" b="5080"/>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D04C4" w:rsidRPr="007B3BB7" w:rsidRDefault="006D04C4" w:rsidP="006D04C4">
      <w:pPr>
        <w:pStyle w:val="Normal1"/>
        <w:rPr>
          <w:noProof/>
          <w:sz w:val="18"/>
          <w:szCs w:val="18"/>
        </w:rPr>
      </w:pPr>
      <w:r w:rsidRPr="007B3BB7">
        <w:rPr>
          <w:noProof/>
          <w:sz w:val="18"/>
          <w:szCs w:val="18"/>
        </w:rPr>
        <w:t>Kilde: Danmarks Statistik, BEF1A, BEV21 og FOLK1.</w:t>
      </w:r>
    </w:p>
    <w:p w:rsidR="006D04C4" w:rsidRPr="00D30D29" w:rsidRDefault="006D04C4" w:rsidP="006D04C4">
      <w:pPr>
        <w:pStyle w:val="Normal1"/>
        <w:rPr>
          <w:rFonts w:asciiTheme="minorHAnsi" w:hAnsiTheme="minorHAnsi" w:cstheme="minorHAnsi"/>
          <w:noProof/>
          <w:sz w:val="18"/>
          <w:szCs w:val="18"/>
          <w:highlight w:val="yellow"/>
        </w:rPr>
      </w:pPr>
    </w:p>
    <w:p w:rsidR="006D04C4" w:rsidRPr="00A9702C" w:rsidRDefault="006D04C4" w:rsidP="00B3065E">
      <w:pPr>
        <w:pStyle w:val="Normal1"/>
        <w:rPr>
          <w:rFonts w:ascii="Arial" w:hAnsi="Arial" w:cs="Arial"/>
          <w:sz w:val="22"/>
          <w:szCs w:val="22"/>
          <w:lang w:eastAsia="en-US"/>
        </w:rPr>
      </w:pPr>
      <w:r w:rsidRPr="00A9702C">
        <w:rPr>
          <w:rFonts w:ascii="Arial" w:hAnsi="Arial" w:cs="Arial"/>
          <w:sz w:val="22"/>
          <w:szCs w:val="22"/>
          <w:lang w:eastAsia="en-US"/>
        </w:rPr>
        <w:t>Det overordnede billede, som figur 3 tegner, er, at Frederiksberg og Københavns kommuner siden 1993 relativt set har haft den største befolkningstilvækst, mens Albertslund er den eneste af de udvalgte kommuner, der relativt set har oplevet et fald i sit befolkningstal sammenlignet med 1993. Udviklingen siden</w:t>
      </w:r>
      <w:r w:rsidR="00C03F9D">
        <w:rPr>
          <w:rFonts w:ascii="Arial" w:hAnsi="Arial" w:cs="Arial"/>
          <w:sz w:val="22"/>
          <w:szCs w:val="22"/>
          <w:lang w:eastAsia="en-US"/>
        </w:rPr>
        <w:t xml:space="preserve"> begyndelsen af</w:t>
      </w:r>
      <w:r w:rsidRPr="00A9702C">
        <w:rPr>
          <w:rFonts w:ascii="Arial" w:hAnsi="Arial" w:cs="Arial"/>
          <w:sz w:val="22"/>
          <w:szCs w:val="22"/>
          <w:lang w:eastAsia="en-US"/>
        </w:rPr>
        <w:t xml:space="preserve"> 10’erne har for de øvrige kommuner været stigninger i befolkningsudviklingen.</w:t>
      </w:r>
    </w:p>
    <w:p w:rsidR="006D04C4" w:rsidRPr="00A9702C" w:rsidRDefault="006D04C4" w:rsidP="00B3065E">
      <w:pPr>
        <w:pStyle w:val="Normal1"/>
        <w:rPr>
          <w:rFonts w:ascii="Arial" w:hAnsi="Arial" w:cs="Arial"/>
          <w:sz w:val="22"/>
          <w:szCs w:val="22"/>
          <w:lang w:eastAsia="en-US"/>
        </w:rPr>
      </w:pPr>
    </w:p>
    <w:p w:rsidR="006D04C4" w:rsidRPr="00A9702C" w:rsidRDefault="006D04C4" w:rsidP="00B3065E">
      <w:pPr>
        <w:pStyle w:val="Normal1"/>
        <w:rPr>
          <w:rFonts w:ascii="Arial" w:hAnsi="Arial" w:cs="Arial"/>
          <w:sz w:val="22"/>
          <w:szCs w:val="22"/>
          <w:lang w:eastAsia="en-US"/>
        </w:rPr>
      </w:pPr>
      <w:r w:rsidRPr="00A9702C">
        <w:rPr>
          <w:rFonts w:ascii="Arial" w:hAnsi="Arial" w:cs="Arial"/>
          <w:sz w:val="22"/>
          <w:szCs w:val="22"/>
          <w:lang w:eastAsia="en-US"/>
        </w:rPr>
        <w:t>Brøndby</w:t>
      </w:r>
      <w:r w:rsidR="00384084">
        <w:rPr>
          <w:rFonts w:ascii="Arial" w:hAnsi="Arial" w:cs="Arial"/>
          <w:sz w:val="22"/>
          <w:szCs w:val="22"/>
          <w:lang w:eastAsia="en-US"/>
        </w:rPr>
        <w:t xml:space="preserve"> har</w:t>
      </w:r>
      <w:r w:rsidRPr="00A9702C">
        <w:rPr>
          <w:rFonts w:ascii="Arial" w:hAnsi="Arial" w:cs="Arial"/>
          <w:sz w:val="22"/>
          <w:szCs w:val="22"/>
          <w:lang w:eastAsia="en-US"/>
        </w:rPr>
        <w:t xml:space="preserve"> haft </w:t>
      </w:r>
      <w:r w:rsidR="00923039" w:rsidRPr="00A9702C">
        <w:rPr>
          <w:rFonts w:ascii="Arial" w:hAnsi="Arial" w:cs="Arial"/>
          <w:sz w:val="22"/>
          <w:szCs w:val="22"/>
          <w:lang w:eastAsia="en-US"/>
        </w:rPr>
        <w:t>et mindre fald i</w:t>
      </w:r>
      <w:r w:rsidRPr="00A9702C">
        <w:rPr>
          <w:rFonts w:ascii="Arial" w:hAnsi="Arial" w:cs="Arial"/>
          <w:sz w:val="22"/>
          <w:szCs w:val="22"/>
          <w:lang w:eastAsia="en-US"/>
        </w:rPr>
        <w:t xml:space="preserve"> </w:t>
      </w:r>
      <w:r w:rsidR="003A3F9F">
        <w:rPr>
          <w:rFonts w:ascii="Arial" w:hAnsi="Arial" w:cs="Arial"/>
          <w:sz w:val="22"/>
          <w:szCs w:val="22"/>
          <w:lang w:eastAsia="en-US"/>
        </w:rPr>
        <w:t xml:space="preserve">årene </w:t>
      </w:r>
      <w:r w:rsidRPr="00A9702C">
        <w:rPr>
          <w:rFonts w:ascii="Arial" w:hAnsi="Arial" w:cs="Arial"/>
          <w:sz w:val="22"/>
          <w:szCs w:val="22"/>
          <w:lang w:eastAsia="en-US"/>
        </w:rPr>
        <w:t>2017</w:t>
      </w:r>
      <w:r w:rsidR="003A3F9F">
        <w:rPr>
          <w:rFonts w:ascii="Arial" w:hAnsi="Arial" w:cs="Arial"/>
          <w:sz w:val="22"/>
          <w:szCs w:val="22"/>
          <w:lang w:eastAsia="en-US"/>
        </w:rPr>
        <w:t xml:space="preserve"> til 2019</w:t>
      </w:r>
      <w:r w:rsidR="00C03F9D">
        <w:rPr>
          <w:rFonts w:ascii="Arial" w:hAnsi="Arial" w:cs="Arial"/>
          <w:sz w:val="22"/>
          <w:szCs w:val="22"/>
          <w:lang w:eastAsia="en-US"/>
        </w:rPr>
        <w:t>,</w:t>
      </w:r>
      <w:r w:rsidRPr="00A9702C">
        <w:rPr>
          <w:rFonts w:ascii="Arial" w:hAnsi="Arial" w:cs="Arial"/>
          <w:sz w:val="22"/>
          <w:szCs w:val="22"/>
          <w:lang w:eastAsia="en-US"/>
        </w:rPr>
        <w:t xml:space="preserve"> som</w:t>
      </w:r>
      <w:r w:rsidR="00384084">
        <w:rPr>
          <w:rFonts w:ascii="Arial" w:hAnsi="Arial" w:cs="Arial"/>
          <w:sz w:val="22"/>
          <w:szCs w:val="22"/>
          <w:lang w:eastAsia="en-US"/>
        </w:rPr>
        <w:t xml:space="preserve"> indgår i det samlede udvikling</w:t>
      </w:r>
      <w:r w:rsidRPr="00A9702C">
        <w:rPr>
          <w:rFonts w:ascii="Arial" w:hAnsi="Arial" w:cs="Arial"/>
          <w:sz w:val="22"/>
          <w:szCs w:val="22"/>
          <w:lang w:eastAsia="en-US"/>
        </w:rPr>
        <w:t xml:space="preserve">. </w:t>
      </w:r>
      <w:r w:rsidR="00923039" w:rsidRPr="00A9702C">
        <w:rPr>
          <w:rFonts w:ascii="Arial" w:hAnsi="Arial" w:cs="Arial"/>
          <w:sz w:val="22"/>
          <w:szCs w:val="22"/>
          <w:lang w:eastAsia="en-US"/>
        </w:rPr>
        <w:t>Faldet er som tidligere nævnt en konsekvens af pcb-problematikken i Brøndby Strand</w:t>
      </w:r>
      <w:r w:rsidRPr="00A9702C">
        <w:rPr>
          <w:rFonts w:ascii="Arial" w:hAnsi="Arial" w:cs="Arial"/>
          <w:sz w:val="22"/>
          <w:szCs w:val="22"/>
          <w:lang w:eastAsia="en-US"/>
        </w:rPr>
        <w:t xml:space="preserve">. Det skal også bemærkes, at Frederiksberg Kommune har haft en negativ befolkningsudvikling i </w:t>
      </w:r>
      <w:r w:rsidR="00923039" w:rsidRPr="00A9702C">
        <w:rPr>
          <w:rFonts w:ascii="Arial" w:hAnsi="Arial" w:cs="Arial"/>
          <w:sz w:val="22"/>
          <w:szCs w:val="22"/>
          <w:lang w:eastAsia="en-US"/>
        </w:rPr>
        <w:t xml:space="preserve">både </w:t>
      </w:r>
      <w:r w:rsidRPr="00A9702C">
        <w:rPr>
          <w:rFonts w:ascii="Arial" w:hAnsi="Arial" w:cs="Arial"/>
          <w:sz w:val="22"/>
          <w:szCs w:val="22"/>
          <w:lang w:eastAsia="en-US"/>
        </w:rPr>
        <w:t>2017</w:t>
      </w:r>
      <w:r w:rsidR="00923039" w:rsidRPr="00A9702C">
        <w:rPr>
          <w:rFonts w:ascii="Arial" w:hAnsi="Arial" w:cs="Arial"/>
          <w:sz w:val="22"/>
          <w:szCs w:val="22"/>
          <w:lang w:eastAsia="en-US"/>
        </w:rPr>
        <w:t xml:space="preserve"> og 2018</w:t>
      </w:r>
      <w:r w:rsidR="00384084">
        <w:rPr>
          <w:rFonts w:ascii="Arial" w:hAnsi="Arial" w:cs="Arial"/>
          <w:sz w:val="22"/>
          <w:szCs w:val="22"/>
          <w:lang w:eastAsia="en-US"/>
        </w:rPr>
        <w:t>. Det</w:t>
      </w:r>
      <w:r w:rsidRPr="00A9702C">
        <w:rPr>
          <w:rFonts w:ascii="Arial" w:hAnsi="Arial" w:cs="Arial"/>
          <w:sz w:val="22"/>
          <w:szCs w:val="22"/>
          <w:lang w:eastAsia="en-US"/>
        </w:rPr>
        <w:t xml:space="preserve"> afspejles ikke isoleret set i figuren</w:t>
      </w:r>
      <w:r w:rsidR="00C03F9D">
        <w:rPr>
          <w:rFonts w:ascii="Arial" w:hAnsi="Arial" w:cs="Arial"/>
          <w:sz w:val="22"/>
          <w:szCs w:val="22"/>
          <w:lang w:eastAsia="en-US"/>
        </w:rPr>
        <w:t>,</w:t>
      </w:r>
      <w:r w:rsidRPr="00A9702C">
        <w:rPr>
          <w:rFonts w:ascii="Arial" w:hAnsi="Arial" w:cs="Arial"/>
          <w:sz w:val="22"/>
          <w:szCs w:val="22"/>
          <w:lang w:eastAsia="en-US"/>
        </w:rPr>
        <w:t xml:space="preserve"> fordi Frederiksberg er slået sammen med Københavns Kommune.</w:t>
      </w:r>
      <w:r w:rsidR="003A3F9F">
        <w:rPr>
          <w:rFonts w:ascii="Arial" w:hAnsi="Arial" w:cs="Arial"/>
          <w:sz w:val="22"/>
          <w:szCs w:val="22"/>
          <w:lang w:eastAsia="en-US"/>
        </w:rPr>
        <w:t xml:space="preserve"> I 2019 er udviklingen dog vendt igen for Frederiksberg Kommune.</w:t>
      </w:r>
    </w:p>
    <w:p w:rsidR="006D04C4" w:rsidRPr="00A9702C" w:rsidRDefault="006D04C4" w:rsidP="00B3065E">
      <w:pPr>
        <w:pStyle w:val="Normal1"/>
        <w:rPr>
          <w:rFonts w:ascii="Arial" w:hAnsi="Arial" w:cs="Arial"/>
          <w:sz w:val="22"/>
          <w:szCs w:val="22"/>
          <w:lang w:eastAsia="en-US"/>
        </w:rPr>
      </w:pPr>
    </w:p>
    <w:p w:rsidR="006D04C4" w:rsidRPr="00A9702C" w:rsidRDefault="006D04C4" w:rsidP="00B3065E">
      <w:pPr>
        <w:pStyle w:val="Normal1"/>
        <w:rPr>
          <w:rFonts w:ascii="Arial" w:hAnsi="Arial" w:cs="Arial"/>
          <w:sz w:val="22"/>
          <w:szCs w:val="22"/>
          <w:lang w:eastAsia="en-US"/>
        </w:rPr>
      </w:pPr>
      <w:r w:rsidRPr="00A9702C">
        <w:rPr>
          <w:rFonts w:ascii="Arial" w:hAnsi="Arial" w:cs="Arial"/>
          <w:sz w:val="22"/>
          <w:szCs w:val="22"/>
          <w:lang w:eastAsia="en-US"/>
        </w:rPr>
        <w:t>Den opmærksomme læser vil notere sig, at kurven for Brøndby Kommune har et ikke ubetydeligt ”knæk” mellem 1995 og 1996. Stigningen var på 809</w:t>
      </w:r>
      <w:r w:rsidR="003A3F9F">
        <w:rPr>
          <w:rFonts w:ascii="Arial" w:hAnsi="Arial" w:cs="Arial"/>
          <w:sz w:val="22"/>
          <w:szCs w:val="22"/>
          <w:lang w:eastAsia="en-US"/>
        </w:rPr>
        <w:t xml:space="preserve"> personer – fra 33.579 til 34.38</w:t>
      </w:r>
      <w:r w:rsidRPr="00A9702C">
        <w:rPr>
          <w:rFonts w:ascii="Arial" w:hAnsi="Arial" w:cs="Arial"/>
          <w:sz w:val="22"/>
          <w:szCs w:val="22"/>
          <w:lang w:eastAsia="en-US"/>
        </w:rPr>
        <w:t>8 – svarende til 2,4 pct. Mange af de nye borgere i kommunen var bosniske flygtninge, som hovedsageligt blev indhuset i Brøndby Strand.</w:t>
      </w:r>
    </w:p>
    <w:p w:rsidR="006D04C4" w:rsidRPr="00D30D29" w:rsidRDefault="006D04C4" w:rsidP="006D04C4">
      <w:pPr>
        <w:rPr>
          <w:highlight w:val="yellow"/>
        </w:rPr>
      </w:pPr>
    </w:p>
    <w:p w:rsidR="006D04C4" w:rsidRPr="00A9702C" w:rsidRDefault="006D04C4" w:rsidP="00923039">
      <w:pPr>
        <w:pStyle w:val="Normal1"/>
        <w:rPr>
          <w:rFonts w:ascii="Arial" w:hAnsi="Arial" w:cs="Arial"/>
          <w:sz w:val="22"/>
          <w:szCs w:val="22"/>
          <w:lang w:eastAsia="en-US"/>
        </w:rPr>
      </w:pPr>
      <w:r w:rsidRPr="00A9702C">
        <w:rPr>
          <w:rFonts w:ascii="Arial" w:hAnsi="Arial" w:cs="Arial"/>
          <w:sz w:val="22"/>
          <w:szCs w:val="22"/>
          <w:lang w:eastAsia="en-US"/>
        </w:rPr>
        <w:t>Tabel 4 nedenfor viser udviklingen i b</w:t>
      </w:r>
      <w:r w:rsidR="003A3F9F">
        <w:rPr>
          <w:rFonts w:ascii="Arial" w:hAnsi="Arial" w:cs="Arial"/>
          <w:sz w:val="22"/>
          <w:szCs w:val="22"/>
          <w:lang w:eastAsia="en-US"/>
        </w:rPr>
        <w:t>efolkningstallet i løbet af 2019</w:t>
      </w:r>
      <w:r w:rsidRPr="00A9702C">
        <w:rPr>
          <w:rFonts w:ascii="Arial" w:hAnsi="Arial" w:cs="Arial"/>
          <w:sz w:val="22"/>
          <w:szCs w:val="22"/>
          <w:lang w:eastAsia="en-US"/>
        </w:rPr>
        <w:t xml:space="preserve"> i en række kommuner. Tabellen indeholder udviklingen for de fem kommuner med henholdsvis den højeste og laveste b</w:t>
      </w:r>
      <w:r w:rsidR="00532902">
        <w:rPr>
          <w:rFonts w:ascii="Arial" w:hAnsi="Arial" w:cs="Arial"/>
          <w:sz w:val="22"/>
          <w:szCs w:val="22"/>
          <w:lang w:eastAsia="en-US"/>
        </w:rPr>
        <w:t>efolkni</w:t>
      </w:r>
      <w:r w:rsidR="003A3F9F">
        <w:rPr>
          <w:rFonts w:ascii="Arial" w:hAnsi="Arial" w:cs="Arial"/>
          <w:sz w:val="22"/>
          <w:szCs w:val="22"/>
          <w:lang w:eastAsia="en-US"/>
        </w:rPr>
        <w:t>ngsvækst i løbet af året. I 2019</w:t>
      </w:r>
      <w:r w:rsidRPr="00A9702C">
        <w:rPr>
          <w:rFonts w:ascii="Arial" w:hAnsi="Arial" w:cs="Arial"/>
          <w:sz w:val="22"/>
          <w:szCs w:val="22"/>
          <w:lang w:eastAsia="en-US"/>
        </w:rPr>
        <w:t xml:space="preserve"> er Brøndby Kommune faldet lidt længere ned ad listen</w:t>
      </w:r>
      <w:r w:rsidR="00532902">
        <w:rPr>
          <w:rFonts w:ascii="Arial" w:hAnsi="Arial" w:cs="Arial"/>
          <w:sz w:val="22"/>
          <w:szCs w:val="22"/>
          <w:lang w:eastAsia="en-US"/>
        </w:rPr>
        <w:t xml:space="preserve"> </w:t>
      </w:r>
      <w:r w:rsidR="00532902">
        <w:rPr>
          <w:rFonts w:ascii="Arial" w:hAnsi="Arial" w:cs="Arial"/>
          <w:sz w:val="22"/>
          <w:szCs w:val="22"/>
          <w:lang w:eastAsia="en-US"/>
        </w:rPr>
        <w:lastRenderedPageBreak/>
        <w:t>i forhold til sidste år</w:t>
      </w:r>
      <w:r w:rsidRPr="00A9702C">
        <w:rPr>
          <w:rFonts w:ascii="Arial" w:hAnsi="Arial" w:cs="Arial"/>
          <w:sz w:val="22"/>
          <w:szCs w:val="22"/>
          <w:lang w:eastAsia="en-US"/>
        </w:rPr>
        <w:t xml:space="preserve"> hvilket selvfølgelig skyldes den negative befolkningstilvækst, som </w:t>
      </w:r>
      <w:r w:rsidR="00384084">
        <w:rPr>
          <w:rFonts w:ascii="Arial" w:hAnsi="Arial" w:cs="Arial"/>
          <w:sz w:val="22"/>
          <w:szCs w:val="22"/>
          <w:lang w:eastAsia="en-US"/>
        </w:rPr>
        <w:t>nu er tredje</w:t>
      </w:r>
      <w:r w:rsidR="00532902">
        <w:rPr>
          <w:rFonts w:ascii="Arial" w:hAnsi="Arial" w:cs="Arial"/>
          <w:sz w:val="22"/>
          <w:szCs w:val="22"/>
          <w:lang w:eastAsia="en-US"/>
        </w:rPr>
        <w:t xml:space="preserve"> år i træk.</w:t>
      </w:r>
      <w:r w:rsidRPr="00A9702C">
        <w:rPr>
          <w:rFonts w:ascii="Arial" w:hAnsi="Arial" w:cs="Arial"/>
          <w:sz w:val="22"/>
          <w:szCs w:val="22"/>
          <w:lang w:eastAsia="en-US"/>
        </w:rPr>
        <w:t xml:space="preserve"> </w:t>
      </w:r>
    </w:p>
    <w:p w:rsidR="006D04C4" w:rsidRDefault="006D04C4" w:rsidP="006D04C4">
      <w:pPr>
        <w:rPr>
          <w:highlight w:val="yellow"/>
        </w:rPr>
      </w:pPr>
    </w:p>
    <w:p w:rsidR="00C03F9D" w:rsidRDefault="00C03F9D" w:rsidP="006D04C4">
      <w:pPr>
        <w:rPr>
          <w:highlight w:val="yellow"/>
        </w:rPr>
      </w:pPr>
    </w:p>
    <w:p w:rsidR="00C03F9D" w:rsidRDefault="00C03F9D" w:rsidP="006D04C4">
      <w:pPr>
        <w:rPr>
          <w:highlight w:val="yellow"/>
        </w:rPr>
      </w:pPr>
    </w:p>
    <w:p w:rsidR="00C03F9D" w:rsidRDefault="00C03F9D" w:rsidP="006D04C4">
      <w:pPr>
        <w:rPr>
          <w:highlight w:val="yellow"/>
        </w:rPr>
      </w:pPr>
    </w:p>
    <w:p w:rsidR="00C03F9D" w:rsidRDefault="00C03F9D" w:rsidP="006D04C4">
      <w:pPr>
        <w:rPr>
          <w:highlight w:val="yellow"/>
        </w:rPr>
      </w:pPr>
    </w:p>
    <w:p w:rsidR="00C03F9D" w:rsidRDefault="00C03F9D" w:rsidP="006D04C4">
      <w:pPr>
        <w:rPr>
          <w:highlight w:val="yellow"/>
        </w:rPr>
      </w:pPr>
    </w:p>
    <w:p w:rsidR="00C03F9D" w:rsidRDefault="00C03F9D" w:rsidP="006D04C4">
      <w:pPr>
        <w:rPr>
          <w:highlight w:val="yellow"/>
        </w:rPr>
      </w:pPr>
    </w:p>
    <w:p w:rsidR="00C03F9D" w:rsidRDefault="00C03F9D" w:rsidP="006D04C4">
      <w:pPr>
        <w:rPr>
          <w:highlight w:val="yellow"/>
        </w:rPr>
      </w:pPr>
    </w:p>
    <w:p w:rsidR="00C03F9D" w:rsidRDefault="00C03F9D" w:rsidP="006D04C4">
      <w:pPr>
        <w:rPr>
          <w:highlight w:val="yellow"/>
        </w:rPr>
      </w:pPr>
    </w:p>
    <w:p w:rsidR="00C03F9D" w:rsidRPr="00D30D29" w:rsidRDefault="00C03F9D" w:rsidP="006D04C4">
      <w:pPr>
        <w:rPr>
          <w:highlight w:val="yellow"/>
        </w:rPr>
      </w:pPr>
    </w:p>
    <w:p w:rsidR="006D04C4" w:rsidRPr="00806CDA" w:rsidRDefault="006D04C4" w:rsidP="006D04C4">
      <w:pPr>
        <w:pStyle w:val="Billedtekst"/>
        <w:rPr>
          <w:rFonts w:ascii="Arial" w:hAnsi="Arial" w:cs="Arial"/>
          <w:szCs w:val="18"/>
        </w:rPr>
      </w:pPr>
      <w:r w:rsidRPr="00806CDA">
        <w:rPr>
          <w:rFonts w:ascii="Arial" w:hAnsi="Arial" w:cs="Arial"/>
          <w:b/>
          <w:szCs w:val="18"/>
        </w:rPr>
        <w:t xml:space="preserve">Tabel </w:t>
      </w:r>
      <w:r w:rsidR="002A4394">
        <w:rPr>
          <w:rFonts w:ascii="Arial" w:hAnsi="Arial" w:cs="Arial"/>
          <w:b/>
          <w:szCs w:val="18"/>
        </w:rPr>
        <w:t>4</w:t>
      </w:r>
      <w:r w:rsidRPr="00806CDA">
        <w:rPr>
          <w:rFonts w:ascii="Arial" w:hAnsi="Arial" w:cs="Arial"/>
          <w:b/>
          <w:szCs w:val="18"/>
        </w:rPr>
        <w:t>.</w:t>
      </w:r>
      <w:r w:rsidRPr="00806CDA">
        <w:rPr>
          <w:rFonts w:ascii="Arial" w:hAnsi="Arial" w:cs="Arial"/>
          <w:szCs w:val="18"/>
        </w:rPr>
        <w:t xml:space="preserve"> Befolkningsvækst i</w:t>
      </w:r>
      <w:r w:rsidR="004A03EE" w:rsidRPr="00806CDA">
        <w:rPr>
          <w:rFonts w:ascii="Arial" w:hAnsi="Arial" w:cs="Arial"/>
          <w:szCs w:val="18"/>
        </w:rPr>
        <w:t xml:space="preserve"> 2018</w:t>
      </w:r>
      <w:r w:rsidRPr="00806CDA">
        <w:rPr>
          <w:rFonts w:ascii="Arial" w:hAnsi="Arial" w:cs="Arial"/>
          <w:szCs w:val="18"/>
        </w:rPr>
        <w:t xml:space="preserve"> i udvalgte kommuner.</w:t>
      </w:r>
      <w:r w:rsidR="00052554">
        <w:rPr>
          <w:rFonts w:ascii="Arial" w:hAnsi="Arial" w:cs="Arial"/>
          <w:szCs w:val="18"/>
        </w:rPr>
        <w:t xml:space="preserve"> (tilrettes)</w:t>
      </w:r>
    </w:p>
    <w:tbl>
      <w:tblPr>
        <w:tblW w:w="5000" w:type="pct"/>
        <w:tblCellMar>
          <w:left w:w="70" w:type="dxa"/>
          <w:right w:w="70" w:type="dxa"/>
        </w:tblCellMar>
        <w:tblLook w:val="04A0" w:firstRow="1" w:lastRow="0" w:firstColumn="1" w:lastColumn="0" w:noHBand="0" w:noVBand="1"/>
      </w:tblPr>
      <w:tblGrid>
        <w:gridCol w:w="439"/>
        <w:gridCol w:w="2700"/>
        <w:gridCol w:w="1637"/>
        <w:gridCol w:w="1637"/>
        <w:gridCol w:w="1637"/>
        <w:gridCol w:w="1589"/>
      </w:tblGrid>
      <w:tr w:rsidR="00097799" w:rsidRPr="00097799" w:rsidTr="00097799">
        <w:trPr>
          <w:trHeight w:val="300"/>
        </w:trPr>
        <w:tc>
          <w:tcPr>
            <w:tcW w:w="233"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rPr>
                <w:rFonts w:ascii="Calibri" w:hAnsi="Calibri" w:cs="Calibri"/>
                <w:b/>
                <w:bCs/>
                <w:color w:val="000000"/>
                <w:szCs w:val="22"/>
              </w:rPr>
            </w:pPr>
            <w:r w:rsidRPr="00097799">
              <w:rPr>
                <w:rFonts w:ascii="Calibri" w:hAnsi="Calibri" w:cs="Calibri"/>
                <w:b/>
                <w:bCs/>
                <w:color w:val="000000"/>
                <w:szCs w:val="22"/>
              </w:rPr>
              <w:t>Nr.</w:t>
            </w:r>
          </w:p>
        </w:tc>
        <w:tc>
          <w:tcPr>
            <w:tcW w:w="1404"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rPr>
                <w:rFonts w:ascii="Calibri" w:hAnsi="Calibri" w:cs="Calibri"/>
                <w:b/>
                <w:bCs/>
                <w:color w:val="000000"/>
                <w:szCs w:val="22"/>
              </w:rPr>
            </w:pPr>
            <w:r w:rsidRPr="00097799">
              <w:rPr>
                <w:rFonts w:ascii="Calibri" w:hAnsi="Calibri" w:cs="Calibri"/>
                <w:b/>
                <w:bCs/>
                <w:color w:val="000000"/>
                <w:szCs w:val="22"/>
              </w:rPr>
              <w:t>Kommune</w:t>
            </w:r>
          </w:p>
        </w:tc>
        <w:tc>
          <w:tcPr>
            <w:tcW w:w="844"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rPr>
                <w:rFonts w:ascii="Calibri" w:hAnsi="Calibri" w:cs="Calibri"/>
                <w:b/>
                <w:bCs/>
                <w:color w:val="000000"/>
                <w:szCs w:val="22"/>
              </w:rPr>
            </w:pPr>
            <w:r w:rsidRPr="00097799">
              <w:rPr>
                <w:rFonts w:ascii="Calibri" w:hAnsi="Calibri" w:cs="Calibri"/>
                <w:b/>
                <w:bCs/>
                <w:color w:val="000000"/>
                <w:szCs w:val="22"/>
              </w:rPr>
              <w:t>Ultimo 2018</w:t>
            </w:r>
          </w:p>
        </w:tc>
        <w:tc>
          <w:tcPr>
            <w:tcW w:w="844"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rPr>
                <w:rFonts w:ascii="Calibri" w:hAnsi="Calibri" w:cs="Calibri"/>
                <w:b/>
                <w:bCs/>
                <w:color w:val="000000"/>
                <w:szCs w:val="22"/>
              </w:rPr>
            </w:pPr>
            <w:r w:rsidRPr="00097799">
              <w:rPr>
                <w:rFonts w:ascii="Calibri" w:hAnsi="Calibri" w:cs="Calibri"/>
                <w:b/>
                <w:bCs/>
                <w:color w:val="000000"/>
                <w:szCs w:val="22"/>
              </w:rPr>
              <w:t>Umtimo 2019</w:t>
            </w:r>
          </w:p>
        </w:tc>
        <w:tc>
          <w:tcPr>
            <w:tcW w:w="844"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rPr>
                <w:rFonts w:ascii="Calibri" w:hAnsi="Calibri" w:cs="Calibri"/>
                <w:b/>
                <w:bCs/>
                <w:color w:val="000000"/>
                <w:szCs w:val="22"/>
              </w:rPr>
            </w:pPr>
            <w:r w:rsidRPr="00097799">
              <w:rPr>
                <w:rFonts w:ascii="Calibri" w:hAnsi="Calibri" w:cs="Calibri"/>
                <w:b/>
                <w:bCs/>
                <w:color w:val="000000"/>
                <w:szCs w:val="22"/>
              </w:rPr>
              <w:t>Vækst, absolut</w:t>
            </w:r>
          </w:p>
        </w:tc>
        <w:tc>
          <w:tcPr>
            <w:tcW w:w="829"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rPr>
                <w:rFonts w:ascii="Calibri" w:hAnsi="Calibri" w:cs="Calibri"/>
                <w:b/>
                <w:bCs/>
                <w:color w:val="000000"/>
                <w:szCs w:val="22"/>
              </w:rPr>
            </w:pPr>
            <w:r w:rsidRPr="00097799">
              <w:rPr>
                <w:rFonts w:ascii="Calibri" w:hAnsi="Calibri" w:cs="Calibri"/>
                <w:b/>
                <w:bCs/>
                <w:color w:val="000000"/>
                <w:szCs w:val="22"/>
              </w:rPr>
              <w:t>Vækst, procent</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Fanø</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3</w:t>
            </w:r>
            <w:r>
              <w:rPr>
                <w:rFonts w:ascii="Calibri" w:hAnsi="Calibri" w:cs="Calibri"/>
                <w:color w:val="000000"/>
                <w:szCs w:val="22"/>
              </w:rPr>
              <w:t>.</w:t>
            </w:r>
            <w:r w:rsidRPr="00097799">
              <w:rPr>
                <w:rFonts w:ascii="Calibri" w:hAnsi="Calibri" w:cs="Calibri"/>
                <w:color w:val="000000"/>
                <w:szCs w:val="22"/>
              </w:rPr>
              <w:t>404</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3</w:t>
            </w:r>
            <w:r>
              <w:rPr>
                <w:rFonts w:ascii="Calibri" w:hAnsi="Calibri" w:cs="Calibri"/>
                <w:color w:val="000000"/>
                <w:szCs w:val="22"/>
              </w:rPr>
              <w:t>.</w:t>
            </w:r>
            <w:r w:rsidRPr="00097799">
              <w:rPr>
                <w:rFonts w:ascii="Calibri" w:hAnsi="Calibri" w:cs="Calibri"/>
                <w:color w:val="000000"/>
                <w:szCs w:val="22"/>
              </w:rPr>
              <w:t>488</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84</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2,47%</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Glostrup</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22</w:t>
            </w:r>
            <w:r>
              <w:rPr>
                <w:rFonts w:ascii="Calibri" w:hAnsi="Calibri" w:cs="Calibri"/>
                <w:color w:val="000000"/>
                <w:szCs w:val="22"/>
              </w:rPr>
              <w:t>.</w:t>
            </w:r>
            <w:r w:rsidRPr="00097799">
              <w:rPr>
                <w:rFonts w:ascii="Calibri" w:hAnsi="Calibri" w:cs="Calibri"/>
                <w:color w:val="000000"/>
                <w:szCs w:val="22"/>
              </w:rPr>
              <w:t>615</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23</w:t>
            </w:r>
            <w:r>
              <w:rPr>
                <w:rFonts w:ascii="Calibri" w:hAnsi="Calibri" w:cs="Calibri"/>
                <w:color w:val="000000"/>
                <w:szCs w:val="22"/>
              </w:rPr>
              <w:t>.</w:t>
            </w:r>
            <w:r w:rsidRPr="00097799">
              <w:rPr>
                <w:rFonts w:ascii="Calibri" w:hAnsi="Calibri" w:cs="Calibri"/>
                <w:color w:val="000000"/>
                <w:szCs w:val="22"/>
              </w:rPr>
              <w:t>128</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513</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2,27%</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3</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Dragør</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14</w:t>
            </w:r>
            <w:r>
              <w:rPr>
                <w:rFonts w:ascii="Calibri" w:hAnsi="Calibri" w:cs="Calibri"/>
                <w:color w:val="000000"/>
                <w:szCs w:val="22"/>
              </w:rPr>
              <w:t>.</w:t>
            </w:r>
            <w:r w:rsidRPr="00097799">
              <w:rPr>
                <w:rFonts w:ascii="Calibri" w:hAnsi="Calibri" w:cs="Calibri"/>
                <w:color w:val="000000"/>
                <w:szCs w:val="22"/>
              </w:rPr>
              <w:t>270</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14</w:t>
            </w:r>
            <w:r>
              <w:rPr>
                <w:rFonts w:ascii="Calibri" w:hAnsi="Calibri" w:cs="Calibri"/>
                <w:color w:val="000000"/>
                <w:szCs w:val="22"/>
              </w:rPr>
              <w:t>.</w:t>
            </w:r>
            <w:r w:rsidRPr="00097799">
              <w:rPr>
                <w:rFonts w:ascii="Calibri" w:hAnsi="Calibri" w:cs="Calibri"/>
                <w:color w:val="000000"/>
                <w:szCs w:val="22"/>
              </w:rPr>
              <w:t>494</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224</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1,57%</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4</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Rødovre</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40</w:t>
            </w:r>
            <w:r>
              <w:rPr>
                <w:rFonts w:ascii="Calibri" w:hAnsi="Calibri" w:cs="Calibri"/>
                <w:color w:val="000000"/>
                <w:szCs w:val="22"/>
              </w:rPr>
              <w:t>.</w:t>
            </w:r>
            <w:r w:rsidRPr="00097799">
              <w:rPr>
                <w:rFonts w:ascii="Calibri" w:hAnsi="Calibri" w:cs="Calibri"/>
                <w:color w:val="000000"/>
                <w:szCs w:val="22"/>
              </w:rPr>
              <w:t>052</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40</w:t>
            </w:r>
            <w:r>
              <w:rPr>
                <w:rFonts w:ascii="Calibri" w:hAnsi="Calibri" w:cs="Calibri"/>
                <w:color w:val="000000"/>
                <w:szCs w:val="22"/>
              </w:rPr>
              <w:t>.</w:t>
            </w:r>
            <w:r w:rsidRPr="00097799">
              <w:rPr>
                <w:rFonts w:ascii="Calibri" w:hAnsi="Calibri" w:cs="Calibri"/>
                <w:color w:val="000000"/>
                <w:szCs w:val="22"/>
              </w:rPr>
              <w:t>652</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600</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1,50%</w:t>
            </w:r>
          </w:p>
        </w:tc>
      </w:tr>
      <w:tr w:rsidR="00097799" w:rsidRPr="00097799" w:rsidTr="00097799">
        <w:trPr>
          <w:trHeight w:val="300"/>
        </w:trPr>
        <w:tc>
          <w:tcPr>
            <w:tcW w:w="233" w:type="pct"/>
            <w:tcBorders>
              <w:top w:val="nil"/>
              <w:left w:val="nil"/>
              <w:bottom w:val="single" w:sz="4" w:space="0" w:color="auto"/>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5</w:t>
            </w:r>
          </w:p>
        </w:tc>
        <w:tc>
          <w:tcPr>
            <w:tcW w:w="1404" w:type="pct"/>
            <w:tcBorders>
              <w:top w:val="nil"/>
              <w:left w:val="nil"/>
              <w:bottom w:val="single" w:sz="4" w:space="0" w:color="auto"/>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København</w:t>
            </w:r>
          </w:p>
        </w:tc>
        <w:tc>
          <w:tcPr>
            <w:tcW w:w="844" w:type="pct"/>
            <w:tcBorders>
              <w:top w:val="nil"/>
              <w:left w:val="nil"/>
              <w:bottom w:val="single" w:sz="4" w:space="0" w:color="auto"/>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623</w:t>
            </w:r>
            <w:r>
              <w:rPr>
                <w:rFonts w:ascii="Calibri" w:hAnsi="Calibri" w:cs="Calibri"/>
                <w:color w:val="000000"/>
                <w:szCs w:val="22"/>
              </w:rPr>
              <w:t>.</w:t>
            </w:r>
            <w:r w:rsidRPr="00097799">
              <w:rPr>
                <w:rFonts w:ascii="Calibri" w:hAnsi="Calibri" w:cs="Calibri"/>
                <w:color w:val="000000"/>
                <w:szCs w:val="22"/>
              </w:rPr>
              <w:t>404</w:t>
            </w:r>
          </w:p>
        </w:tc>
        <w:tc>
          <w:tcPr>
            <w:tcW w:w="844" w:type="pct"/>
            <w:tcBorders>
              <w:top w:val="nil"/>
              <w:left w:val="nil"/>
              <w:bottom w:val="single" w:sz="4" w:space="0" w:color="auto"/>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632</w:t>
            </w:r>
            <w:r>
              <w:rPr>
                <w:rFonts w:ascii="Calibri" w:hAnsi="Calibri" w:cs="Calibri"/>
                <w:color w:val="000000"/>
                <w:szCs w:val="22"/>
              </w:rPr>
              <w:t>.</w:t>
            </w:r>
            <w:r w:rsidRPr="00097799">
              <w:rPr>
                <w:rFonts w:ascii="Calibri" w:hAnsi="Calibri" w:cs="Calibri"/>
                <w:color w:val="000000"/>
                <w:szCs w:val="22"/>
              </w:rPr>
              <w:t>340</w:t>
            </w:r>
          </w:p>
        </w:tc>
        <w:tc>
          <w:tcPr>
            <w:tcW w:w="844" w:type="pct"/>
            <w:tcBorders>
              <w:top w:val="nil"/>
              <w:left w:val="nil"/>
              <w:bottom w:val="single" w:sz="4" w:space="0" w:color="auto"/>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8</w:t>
            </w:r>
            <w:r w:rsidR="00BF24C3">
              <w:rPr>
                <w:rFonts w:ascii="Calibri" w:hAnsi="Calibri" w:cs="Calibri"/>
                <w:color w:val="000000"/>
                <w:szCs w:val="22"/>
              </w:rPr>
              <w:t>.</w:t>
            </w:r>
            <w:r w:rsidRPr="00097799">
              <w:rPr>
                <w:rFonts w:ascii="Calibri" w:hAnsi="Calibri" w:cs="Calibri"/>
                <w:color w:val="000000"/>
                <w:szCs w:val="22"/>
              </w:rPr>
              <w:t>936</w:t>
            </w:r>
          </w:p>
        </w:tc>
        <w:tc>
          <w:tcPr>
            <w:tcW w:w="829" w:type="pct"/>
            <w:tcBorders>
              <w:top w:val="nil"/>
              <w:left w:val="nil"/>
              <w:bottom w:val="single" w:sz="4" w:space="0" w:color="auto"/>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1,43%</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27</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Odense</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204</w:t>
            </w:r>
            <w:r>
              <w:rPr>
                <w:rFonts w:ascii="Calibri" w:hAnsi="Calibri" w:cs="Calibri"/>
                <w:color w:val="000000"/>
                <w:szCs w:val="22"/>
              </w:rPr>
              <w:t>.</w:t>
            </w:r>
            <w:r w:rsidRPr="00097799">
              <w:rPr>
                <w:rFonts w:ascii="Calibri" w:hAnsi="Calibri" w:cs="Calibri"/>
                <w:color w:val="000000"/>
                <w:szCs w:val="22"/>
              </w:rPr>
              <w:t>182</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204</w:t>
            </w:r>
            <w:r>
              <w:rPr>
                <w:rFonts w:ascii="Calibri" w:hAnsi="Calibri" w:cs="Calibri"/>
                <w:color w:val="000000"/>
                <w:szCs w:val="22"/>
              </w:rPr>
              <w:t>.</w:t>
            </w:r>
            <w:r w:rsidRPr="00097799">
              <w:rPr>
                <w:rFonts w:ascii="Calibri" w:hAnsi="Calibri" w:cs="Calibri"/>
                <w:color w:val="000000"/>
                <w:szCs w:val="22"/>
              </w:rPr>
              <w:t>895</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713</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0,35%</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28</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Holbæk</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71</w:t>
            </w:r>
            <w:r>
              <w:rPr>
                <w:rFonts w:ascii="Calibri" w:hAnsi="Calibri" w:cs="Calibri"/>
                <w:color w:val="000000"/>
                <w:szCs w:val="22"/>
              </w:rPr>
              <w:t>.</w:t>
            </w:r>
            <w:r w:rsidRPr="00097799">
              <w:rPr>
                <w:rFonts w:ascii="Calibri" w:hAnsi="Calibri" w:cs="Calibri"/>
                <w:color w:val="000000"/>
                <w:szCs w:val="22"/>
              </w:rPr>
              <w:t>297</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71</w:t>
            </w:r>
            <w:r>
              <w:rPr>
                <w:rFonts w:ascii="Calibri" w:hAnsi="Calibri" w:cs="Calibri"/>
                <w:color w:val="000000"/>
                <w:szCs w:val="22"/>
              </w:rPr>
              <w:t>.</w:t>
            </w:r>
            <w:r w:rsidRPr="00097799">
              <w:rPr>
                <w:rFonts w:ascii="Calibri" w:hAnsi="Calibri" w:cs="Calibri"/>
                <w:color w:val="000000"/>
                <w:szCs w:val="22"/>
              </w:rPr>
              <w:t>541</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244</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0,34%</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29</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Frederiksberg</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103</w:t>
            </w:r>
            <w:r>
              <w:rPr>
                <w:rFonts w:ascii="Calibri" w:hAnsi="Calibri" w:cs="Calibri"/>
                <w:color w:val="000000"/>
                <w:szCs w:val="22"/>
              </w:rPr>
              <w:t>.</w:t>
            </w:r>
            <w:r w:rsidRPr="00097799">
              <w:rPr>
                <w:rFonts w:ascii="Calibri" w:hAnsi="Calibri" w:cs="Calibri"/>
                <w:color w:val="000000"/>
                <w:szCs w:val="22"/>
              </w:rPr>
              <w:t>960</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104</w:t>
            </w:r>
            <w:r>
              <w:rPr>
                <w:rFonts w:ascii="Calibri" w:hAnsi="Calibri" w:cs="Calibri"/>
                <w:color w:val="000000"/>
                <w:szCs w:val="22"/>
              </w:rPr>
              <w:t>.</w:t>
            </w:r>
            <w:r w:rsidRPr="00097799">
              <w:rPr>
                <w:rFonts w:ascii="Calibri" w:hAnsi="Calibri" w:cs="Calibri"/>
                <w:color w:val="000000"/>
                <w:szCs w:val="22"/>
              </w:rPr>
              <w:t>305</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345</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0,33%</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30</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Kolding</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92</w:t>
            </w:r>
            <w:r>
              <w:rPr>
                <w:rFonts w:ascii="Calibri" w:hAnsi="Calibri" w:cs="Calibri"/>
                <w:color w:val="000000"/>
                <w:szCs w:val="22"/>
              </w:rPr>
              <w:t>.</w:t>
            </w:r>
            <w:r w:rsidRPr="00097799">
              <w:rPr>
                <w:rFonts w:ascii="Calibri" w:hAnsi="Calibri" w:cs="Calibri"/>
                <w:color w:val="000000"/>
                <w:szCs w:val="22"/>
              </w:rPr>
              <w:t>893</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93</w:t>
            </w:r>
            <w:r>
              <w:rPr>
                <w:rFonts w:ascii="Calibri" w:hAnsi="Calibri" w:cs="Calibri"/>
                <w:color w:val="000000"/>
                <w:szCs w:val="22"/>
              </w:rPr>
              <w:t>.</w:t>
            </w:r>
            <w:r w:rsidRPr="00097799">
              <w:rPr>
                <w:rFonts w:ascii="Calibri" w:hAnsi="Calibri" w:cs="Calibri"/>
                <w:color w:val="000000"/>
                <w:szCs w:val="22"/>
              </w:rPr>
              <w:t>175</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282</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0,30%</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31</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Ballerup</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48</w:t>
            </w:r>
            <w:r>
              <w:rPr>
                <w:rFonts w:ascii="Calibri" w:hAnsi="Calibri" w:cs="Calibri"/>
                <w:color w:val="000000"/>
                <w:szCs w:val="22"/>
              </w:rPr>
              <w:t>.</w:t>
            </w:r>
            <w:r w:rsidRPr="00097799">
              <w:rPr>
                <w:rFonts w:ascii="Calibri" w:hAnsi="Calibri" w:cs="Calibri"/>
                <w:color w:val="000000"/>
                <w:szCs w:val="22"/>
              </w:rPr>
              <w:t>458</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48</w:t>
            </w:r>
            <w:r>
              <w:rPr>
                <w:rFonts w:ascii="Calibri" w:hAnsi="Calibri" w:cs="Calibri"/>
                <w:color w:val="000000"/>
                <w:szCs w:val="22"/>
              </w:rPr>
              <w:t>.</w:t>
            </w:r>
            <w:r w:rsidRPr="00097799">
              <w:rPr>
                <w:rFonts w:ascii="Calibri" w:hAnsi="Calibri" w:cs="Calibri"/>
                <w:color w:val="000000"/>
                <w:szCs w:val="22"/>
              </w:rPr>
              <w:t>602</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144</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0,30%</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32</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Herning</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88</w:t>
            </w:r>
            <w:r>
              <w:rPr>
                <w:rFonts w:ascii="Calibri" w:hAnsi="Calibri" w:cs="Calibri"/>
                <w:color w:val="000000"/>
                <w:szCs w:val="22"/>
              </w:rPr>
              <w:t>.</w:t>
            </w:r>
            <w:r w:rsidRPr="00097799">
              <w:rPr>
                <w:rFonts w:ascii="Calibri" w:hAnsi="Calibri" w:cs="Calibri"/>
                <w:color w:val="000000"/>
                <w:szCs w:val="22"/>
              </w:rPr>
              <w:t>917</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89</w:t>
            </w:r>
            <w:r>
              <w:rPr>
                <w:rFonts w:ascii="Calibri" w:hAnsi="Calibri" w:cs="Calibri"/>
                <w:color w:val="000000"/>
                <w:szCs w:val="22"/>
              </w:rPr>
              <w:t>.</w:t>
            </w:r>
            <w:r w:rsidRPr="00097799">
              <w:rPr>
                <w:rFonts w:ascii="Calibri" w:hAnsi="Calibri" w:cs="Calibri"/>
                <w:color w:val="000000"/>
                <w:szCs w:val="22"/>
              </w:rPr>
              <w:t>127</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210</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0,24%</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33</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Ikast-Brande</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41</w:t>
            </w:r>
            <w:r>
              <w:rPr>
                <w:rFonts w:ascii="Calibri" w:hAnsi="Calibri" w:cs="Calibri"/>
                <w:color w:val="000000"/>
                <w:szCs w:val="22"/>
              </w:rPr>
              <w:t>.</w:t>
            </w:r>
            <w:r w:rsidRPr="00097799">
              <w:rPr>
                <w:rFonts w:ascii="Calibri" w:hAnsi="Calibri" w:cs="Calibri"/>
                <w:color w:val="000000"/>
                <w:szCs w:val="22"/>
              </w:rPr>
              <w:t>282</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41</w:t>
            </w:r>
            <w:r>
              <w:rPr>
                <w:rFonts w:ascii="Calibri" w:hAnsi="Calibri" w:cs="Calibri"/>
                <w:color w:val="000000"/>
                <w:szCs w:val="22"/>
              </w:rPr>
              <w:t>.</w:t>
            </w:r>
            <w:r w:rsidRPr="00097799">
              <w:rPr>
                <w:rFonts w:ascii="Calibri" w:hAnsi="Calibri" w:cs="Calibri"/>
                <w:color w:val="000000"/>
                <w:szCs w:val="22"/>
              </w:rPr>
              <w:t>369</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87</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0,21%</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34</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Hvidovre</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53</w:t>
            </w:r>
            <w:r>
              <w:rPr>
                <w:rFonts w:ascii="Calibri" w:hAnsi="Calibri" w:cs="Calibri"/>
                <w:color w:val="000000"/>
                <w:szCs w:val="22"/>
              </w:rPr>
              <w:t>.</w:t>
            </w:r>
            <w:r w:rsidRPr="00097799">
              <w:rPr>
                <w:rFonts w:ascii="Calibri" w:hAnsi="Calibri" w:cs="Calibri"/>
                <w:color w:val="000000"/>
                <w:szCs w:val="22"/>
              </w:rPr>
              <w:t>416</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53</w:t>
            </w:r>
            <w:r>
              <w:rPr>
                <w:rFonts w:ascii="Calibri" w:hAnsi="Calibri" w:cs="Calibri"/>
                <w:color w:val="000000"/>
                <w:szCs w:val="22"/>
              </w:rPr>
              <w:t>.</w:t>
            </w:r>
            <w:r w:rsidRPr="00097799">
              <w:rPr>
                <w:rFonts w:ascii="Calibri" w:hAnsi="Calibri" w:cs="Calibri"/>
                <w:color w:val="000000"/>
                <w:szCs w:val="22"/>
              </w:rPr>
              <w:t>527</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111</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0,21%</w:t>
            </w:r>
          </w:p>
        </w:tc>
      </w:tr>
      <w:tr w:rsidR="00097799" w:rsidRPr="00097799" w:rsidTr="00097799">
        <w:trPr>
          <w:trHeight w:val="300"/>
        </w:trPr>
        <w:tc>
          <w:tcPr>
            <w:tcW w:w="233" w:type="pct"/>
            <w:tcBorders>
              <w:top w:val="single" w:sz="4" w:space="0" w:color="auto"/>
              <w:left w:val="nil"/>
              <w:bottom w:val="single" w:sz="4" w:space="0" w:color="auto"/>
              <w:right w:val="single" w:sz="4" w:space="0" w:color="auto"/>
            </w:tcBorders>
            <w:shd w:val="clear" w:color="auto" w:fill="auto"/>
            <w:noWrap/>
            <w:vAlign w:val="bottom"/>
            <w:hideMark/>
          </w:tcPr>
          <w:p w:rsidR="00097799" w:rsidRPr="00097799" w:rsidRDefault="00097799" w:rsidP="00097799">
            <w:pPr>
              <w:jc w:val="right"/>
              <w:rPr>
                <w:rFonts w:ascii="Calibri" w:hAnsi="Calibri" w:cs="Calibri"/>
                <w:b/>
                <w:bCs/>
                <w:color w:val="000000"/>
                <w:szCs w:val="22"/>
              </w:rPr>
            </w:pPr>
            <w:r w:rsidRPr="00097799">
              <w:rPr>
                <w:rFonts w:ascii="Calibri" w:hAnsi="Calibri" w:cs="Calibri"/>
                <w:b/>
                <w:bCs/>
                <w:color w:val="000000"/>
                <w:szCs w:val="22"/>
              </w:rPr>
              <w:t>92</w:t>
            </w:r>
          </w:p>
        </w:tc>
        <w:tc>
          <w:tcPr>
            <w:tcW w:w="1404"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rPr>
                <w:rFonts w:ascii="Calibri" w:hAnsi="Calibri" w:cs="Calibri"/>
                <w:b/>
                <w:bCs/>
                <w:color w:val="000000"/>
                <w:szCs w:val="22"/>
              </w:rPr>
            </w:pPr>
            <w:r w:rsidRPr="00097799">
              <w:rPr>
                <w:rFonts w:ascii="Calibri" w:hAnsi="Calibri" w:cs="Calibri"/>
                <w:b/>
                <w:bCs/>
                <w:color w:val="000000"/>
                <w:szCs w:val="22"/>
              </w:rPr>
              <w:t>Brøndby</w:t>
            </w:r>
          </w:p>
        </w:tc>
        <w:tc>
          <w:tcPr>
            <w:tcW w:w="844"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jc w:val="right"/>
              <w:rPr>
                <w:rFonts w:ascii="Calibri" w:hAnsi="Calibri" w:cs="Calibri"/>
                <w:b/>
                <w:bCs/>
                <w:color w:val="000000"/>
                <w:szCs w:val="22"/>
              </w:rPr>
            </w:pPr>
            <w:r w:rsidRPr="00097799">
              <w:rPr>
                <w:rFonts w:ascii="Calibri" w:hAnsi="Calibri" w:cs="Calibri"/>
                <w:b/>
                <w:bCs/>
                <w:color w:val="000000"/>
                <w:szCs w:val="22"/>
              </w:rPr>
              <w:t xml:space="preserve">                 35.397 </w:t>
            </w:r>
          </w:p>
        </w:tc>
        <w:tc>
          <w:tcPr>
            <w:tcW w:w="844"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jc w:val="right"/>
              <w:rPr>
                <w:rFonts w:ascii="Calibri" w:hAnsi="Calibri" w:cs="Calibri"/>
                <w:b/>
                <w:bCs/>
                <w:color w:val="000000"/>
                <w:szCs w:val="22"/>
              </w:rPr>
            </w:pPr>
            <w:r w:rsidRPr="00097799">
              <w:rPr>
                <w:rFonts w:ascii="Calibri" w:hAnsi="Calibri" w:cs="Calibri"/>
                <w:b/>
                <w:bCs/>
                <w:color w:val="000000"/>
                <w:szCs w:val="22"/>
              </w:rPr>
              <w:t xml:space="preserve">                 35.090 </w:t>
            </w:r>
          </w:p>
        </w:tc>
        <w:tc>
          <w:tcPr>
            <w:tcW w:w="844"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BF24C3">
            <w:pPr>
              <w:jc w:val="right"/>
              <w:rPr>
                <w:rFonts w:ascii="Calibri" w:hAnsi="Calibri" w:cs="Calibri"/>
                <w:b/>
                <w:bCs/>
                <w:color w:val="000000"/>
                <w:szCs w:val="22"/>
              </w:rPr>
            </w:pPr>
            <w:r w:rsidRPr="00097799">
              <w:rPr>
                <w:rFonts w:ascii="Calibri" w:hAnsi="Calibri" w:cs="Calibri"/>
                <w:b/>
                <w:bCs/>
                <w:color w:val="000000"/>
                <w:szCs w:val="22"/>
              </w:rPr>
              <w:t xml:space="preserve">                     </w:t>
            </w:r>
            <w:r w:rsidR="00BF24C3">
              <w:rPr>
                <w:rFonts w:ascii="Calibri" w:hAnsi="Calibri" w:cs="Calibri"/>
                <w:b/>
                <w:bCs/>
                <w:color w:val="000000"/>
                <w:szCs w:val="22"/>
              </w:rPr>
              <w:t>-</w:t>
            </w:r>
            <w:r w:rsidRPr="00097799">
              <w:rPr>
                <w:rFonts w:ascii="Calibri" w:hAnsi="Calibri" w:cs="Calibri"/>
                <w:b/>
                <w:bCs/>
                <w:color w:val="000000"/>
                <w:szCs w:val="22"/>
              </w:rPr>
              <w:t xml:space="preserve">307 </w:t>
            </w:r>
          </w:p>
        </w:tc>
        <w:tc>
          <w:tcPr>
            <w:tcW w:w="829" w:type="pct"/>
            <w:tcBorders>
              <w:top w:val="single" w:sz="4" w:space="0" w:color="auto"/>
              <w:left w:val="nil"/>
              <w:bottom w:val="single" w:sz="4" w:space="0" w:color="auto"/>
              <w:right w:val="nil"/>
            </w:tcBorders>
            <w:shd w:val="clear" w:color="auto" w:fill="auto"/>
            <w:noWrap/>
            <w:vAlign w:val="bottom"/>
            <w:hideMark/>
          </w:tcPr>
          <w:p w:rsidR="00097799" w:rsidRPr="00097799" w:rsidRDefault="00097799" w:rsidP="00097799">
            <w:pPr>
              <w:jc w:val="right"/>
              <w:rPr>
                <w:rFonts w:ascii="Calibri" w:hAnsi="Calibri" w:cs="Calibri"/>
                <w:b/>
                <w:bCs/>
                <w:color w:val="000000"/>
                <w:szCs w:val="22"/>
              </w:rPr>
            </w:pPr>
            <w:r w:rsidRPr="00097799">
              <w:rPr>
                <w:rFonts w:ascii="Calibri" w:hAnsi="Calibri" w:cs="Calibri"/>
                <w:b/>
                <w:bCs/>
                <w:color w:val="000000"/>
                <w:szCs w:val="22"/>
              </w:rPr>
              <w:t>-0,87%</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94</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Læsø</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1.806 </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1.786 </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 xml:space="preserve">                      </w:t>
            </w:r>
            <w:r w:rsidR="00BF24C3">
              <w:rPr>
                <w:rFonts w:ascii="Calibri" w:hAnsi="Calibri" w:cs="Calibri"/>
                <w:color w:val="000000"/>
                <w:szCs w:val="22"/>
              </w:rPr>
              <w:t>-</w:t>
            </w:r>
            <w:r w:rsidRPr="00097799">
              <w:rPr>
                <w:rFonts w:ascii="Calibri" w:hAnsi="Calibri" w:cs="Calibri"/>
                <w:color w:val="000000"/>
                <w:szCs w:val="22"/>
              </w:rPr>
              <w:t xml:space="preserve">20 </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-1,11%</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95</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Lolland</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41.615 </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41.105 </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 xml:space="preserve">                  </w:t>
            </w:r>
            <w:r w:rsidR="00BF24C3">
              <w:rPr>
                <w:rFonts w:ascii="Calibri" w:hAnsi="Calibri" w:cs="Calibri"/>
                <w:color w:val="000000"/>
                <w:szCs w:val="22"/>
              </w:rPr>
              <w:t>-</w:t>
            </w:r>
            <w:r w:rsidRPr="00097799">
              <w:rPr>
                <w:rFonts w:ascii="Calibri" w:hAnsi="Calibri" w:cs="Calibri"/>
                <w:color w:val="000000"/>
                <w:szCs w:val="22"/>
              </w:rPr>
              <w:t xml:space="preserve"> 510 </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-1,23%</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96</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Lemvig</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19.998 </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19.722 </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 xml:space="preserve">                      </w:t>
            </w:r>
            <w:r w:rsidR="00BF24C3">
              <w:rPr>
                <w:rFonts w:ascii="Calibri" w:hAnsi="Calibri" w:cs="Calibri"/>
                <w:color w:val="000000"/>
                <w:szCs w:val="22"/>
              </w:rPr>
              <w:t>-</w:t>
            </w:r>
            <w:r w:rsidRPr="00097799">
              <w:rPr>
                <w:rFonts w:ascii="Calibri" w:hAnsi="Calibri" w:cs="Calibri"/>
                <w:color w:val="000000"/>
                <w:szCs w:val="22"/>
              </w:rPr>
              <w:t xml:space="preserve">276 </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-1,38%</w:t>
            </w:r>
          </w:p>
        </w:tc>
      </w:tr>
      <w:tr w:rsidR="00097799" w:rsidRPr="00097799" w:rsidTr="00097799">
        <w:trPr>
          <w:trHeight w:val="300"/>
        </w:trPr>
        <w:tc>
          <w:tcPr>
            <w:tcW w:w="233" w:type="pct"/>
            <w:tcBorders>
              <w:top w:val="nil"/>
              <w:left w:val="nil"/>
              <w:bottom w:val="nil"/>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97</w:t>
            </w:r>
          </w:p>
        </w:tc>
        <w:tc>
          <w:tcPr>
            <w:tcW w:w="1404" w:type="pct"/>
            <w:tcBorders>
              <w:top w:val="nil"/>
              <w:left w:val="nil"/>
              <w:bottom w:val="nil"/>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Ærø</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6.058 </w:t>
            </w:r>
          </w:p>
        </w:tc>
        <w:tc>
          <w:tcPr>
            <w:tcW w:w="844"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5.964 </w:t>
            </w:r>
          </w:p>
        </w:tc>
        <w:tc>
          <w:tcPr>
            <w:tcW w:w="844" w:type="pct"/>
            <w:tcBorders>
              <w:top w:val="nil"/>
              <w:left w:val="nil"/>
              <w:bottom w:val="nil"/>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 xml:space="preserve">                     </w:t>
            </w:r>
            <w:r w:rsidR="00BF24C3">
              <w:rPr>
                <w:rFonts w:ascii="Calibri" w:hAnsi="Calibri" w:cs="Calibri"/>
                <w:color w:val="000000"/>
                <w:szCs w:val="22"/>
              </w:rPr>
              <w:t>-</w:t>
            </w:r>
            <w:r w:rsidRPr="00097799">
              <w:rPr>
                <w:rFonts w:ascii="Calibri" w:hAnsi="Calibri" w:cs="Calibri"/>
                <w:color w:val="000000"/>
                <w:szCs w:val="22"/>
              </w:rPr>
              <w:t xml:space="preserve"> 94 </w:t>
            </w:r>
          </w:p>
        </w:tc>
        <w:tc>
          <w:tcPr>
            <w:tcW w:w="829" w:type="pct"/>
            <w:tcBorders>
              <w:top w:val="nil"/>
              <w:left w:val="nil"/>
              <w:bottom w:val="nil"/>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-1,55%</w:t>
            </w:r>
          </w:p>
        </w:tc>
      </w:tr>
      <w:tr w:rsidR="00097799" w:rsidRPr="00097799" w:rsidTr="00097799">
        <w:trPr>
          <w:trHeight w:val="300"/>
        </w:trPr>
        <w:tc>
          <w:tcPr>
            <w:tcW w:w="233" w:type="pct"/>
            <w:tcBorders>
              <w:top w:val="nil"/>
              <w:left w:val="nil"/>
              <w:bottom w:val="single" w:sz="4" w:space="0" w:color="auto"/>
              <w:right w:val="single" w:sz="4" w:space="0" w:color="auto"/>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98</w:t>
            </w:r>
          </w:p>
        </w:tc>
        <w:tc>
          <w:tcPr>
            <w:tcW w:w="1404" w:type="pct"/>
            <w:tcBorders>
              <w:top w:val="nil"/>
              <w:left w:val="nil"/>
              <w:bottom w:val="single" w:sz="4" w:space="0" w:color="auto"/>
              <w:right w:val="nil"/>
            </w:tcBorders>
            <w:shd w:val="clear" w:color="auto" w:fill="auto"/>
            <w:noWrap/>
            <w:vAlign w:val="bottom"/>
            <w:hideMark/>
          </w:tcPr>
          <w:p w:rsidR="00097799" w:rsidRPr="00097799" w:rsidRDefault="00097799" w:rsidP="00097799">
            <w:pPr>
              <w:rPr>
                <w:rFonts w:ascii="Calibri" w:hAnsi="Calibri" w:cs="Calibri"/>
                <w:color w:val="000000"/>
                <w:szCs w:val="22"/>
              </w:rPr>
            </w:pPr>
            <w:r w:rsidRPr="00097799">
              <w:rPr>
                <w:rFonts w:ascii="Calibri" w:hAnsi="Calibri" w:cs="Calibri"/>
                <w:color w:val="000000"/>
                <w:szCs w:val="22"/>
              </w:rPr>
              <w:t>Norddjurs</w:t>
            </w:r>
          </w:p>
        </w:tc>
        <w:tc>
          <w:tcPr>
            <w:tcW w:w="844" w:type="pct"/>
            <w:tcBorders>
              <w:top w:val="nil"/>
              <w:left w:val="nil"/>
              <w:bottom w:val="single" w:sz="4" w:space="0" w:color="auto"/>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37.680 </w:t>
            </w:r>
          </w:p>
        </w:tc>
        <w:tc>
          <w:tcPr>
            <w:tcW w:w="844" w:type="pct"/>
            <w:tcBorders>
              <w:top w:val="nil"/>
              <w:left w:val="nil"/>
              <w:bottom w:val="single" w:sz="4" w:space="0" w:color="auto"/>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 xml:space="preserve">                 37.089 </w:t>
            </w:r>
          </w:p>
        </w:tc>
        <w:tc>
          <w:tcPr>
            <w:tcW w:w="844" w:type="pct"/>
            <w:tcBorders>
              <w:top w:val="nil"/>
              <w:left w:val="nil"/>
              <w:bottom w:val="single" w:sz="4" w:space="0" w:color="auto"/>
              <w:right w:val="nil"/>
            </w:tcBorders>
            <w:shd w:val="clear" w:color="auto" w:fill="auto"/>
            <w:noWrap/>
            <w:vAlign w:val="bottom"/>
            <w:hideMark/>
          </w:tcPr>
          <w:p w:rsidR="00097799" w:rsidRPr="00097799" w:rsidRDefault="00097799" w:rsidP="00BF24C3">
            <w:pPr>
              <w:jc w:val="right"/>
              <w:rPr>
                <w:rFonts w:ascii="Calibri" w:hAnsi="Calibri" w:cs="Calibri"/>
                <w:color w:val="000000"/>
                <w:szCs w:val="22"/>
              </w:rPr>
            </w:pPr>
            <w:r w:rsidRPr="00097799">
              <w:rPr>
                <w:rFonts w:ascii="Calibri" w:hAnsi="Calibri" w:cs="Calibri"/>
                <w:color w:val="000000"/>
                <w:szCs w:val="22"/>
              </w:rPr>
              <w:t xml:space="preserve">                    </w:t>
            </w:r>
            <w:r w:rsidR="00BF24C3">
              <w:rPr>
                <w:rFonts w:ascii="Calibri" w:hAnsi="Calibri" w:cs="Calibri"/>
                <w:color w:val="000000"/>
                <w:szCs w:val="22"/>
              </w:rPr>
              <w:t>-</w:t>
            </w:r>
            <w:r w:rsidRPr="00097799">
              <w:rPr>
                <w:rFonts w:ascii="Calibri" w:hAnsi="Calibri" w:cs="Calibri"/>
                <w:color w:val="000000"/>
                <w:szCs w:val="22"/>
              </w:rPr>
              <w:t xml:space="preserve">591 </w:t>
            </w:r>
          </w:p>
        </w:tc>
        <w:tc>
          <w:tcPr>
            <w:tcW w:w="829" w:type="pct"/>
            <w:tcBorders>
              <w:top w:val="nil"/>
              <w:left w:val="nil"/>
              <w:bottom w:val="single" w:sz="4" w:space="0" w:color="auto"/>
              <w:right w:val="nil"/>
            </w:tcBorders>
            <w:shd w:val="clear" w:color="auto" w:fill="auto"/>
            <w:noWrap/>
            <w:vAlign w:val="bottom"/>
            <w:hideMark/>
          </w:tcPr>
          <w:p w:rsidR="00097799" w:rsidRPr="00097799" w:rsidRDefault="00097799" w:rsidP="00097799">
            <w:pPr>
              <w:jc w:val="right"/>
              <w:rPr>
                <w:rFonts w:ascii="Calibri" w:hAnsi="Calibri" w:cs="Calibri"/>
                <w:color w:val="000000"/>
                <w:szCs w:val="22"/>
              </w:rPr>
            </w:pPr>
            <w:r w:rsidRPr="00097799">
              <w:rPr>
                <w:rFonts w:ascii="Calibri" w:hAnsi="Calibri" w:cs="Calibri"/>
                <w:color w:val="000000"/>
                <w:szCs w:val="22"/>
              </w:rPr>
              <w:t>-1,57%</w:t>
            </w:r>
          </w:p>
        </w:tc>
      </w:tr>
    </w:tbl>
    <w:p w:rsidR="006D04C4" w:rsidRPr="00D30D29" w:rsidRDefault="006D04C4" w:rsidP="006D04C4">
      <w:pPr>
        <w:pStyle w:val="Normal1"/>
        <w:rPr>
          <w:rFonts w:asciiTheme="minorHAnsi" w:hAnsiTheme="minorHAnsi" w:cstheme="minorHAnsi"/>
          <w:sz w:val="18"/>
          <w:szCs w:val="18"/>
          <w:highlight w:val="yellow"/>
        </w:rPr>
      </w:pPr>
    </w:p>
    <w:p w:rsidR="006D04C4" w:rsidRPr="004A03EE" w:rsidRDefault="006D04C4" w:rsidP="006D04C4">
      <w:pPr>
        <w:pStyle w:val="Normal1"/>
        <w:rPr>
          <w:rFonts w:ascii="Arial" w:hAnsi="Arial" w:cs="Arial"/>
          <w:sz w:val="16"/>
          <w:szCs w:val="16"/>
        </w:rPr>
      </w:pPr>
      <w:r w:rsidRPr="004A03EE">
        <w:rPr>
          <w:rFonts w:ascii="Arial" w:hAnsi="Arial" w:cs="Arial"/>
          <w:sz w:val="16"/>
          <w:szCs w:val="16"/>
        </w:rPr>
        <w:t>Kilde: Danmarks Statistik, BEV 107. *I forhold til D</w:t>
      </w:r>
      <w:r w:rsidR="00B61B92">
        <w:rPr>
          <w:rFonts w:ascii="Arial" w:hAnsi="Arial" w:cs="Arial"/>
          <w:sz w:val="16"/>
          <w:szCs w:val="16"/>
        </w:rPr>
        <w:t>emoGrafix er der en forskel på 8</w:t>
      </w:r>
      <w:r w:rsidRPr="004A03EE">
        <w:rPr>
          <w:rFonts w:ascii="Arial" w:hAnsi="Arial" w:cs="Arial"/>
          <w:sz w:val="16"/>
          <w:szCs w:val="16"/>
        </w:rPr>
        <w:t xml:space="preserve"> personer</w:t>
      </w:r>
      <w:r w:rsidR="00B61B92">
        <w:rPr>
          <w:rFonts w:ascii="Arial" w:hAnsi="Arial" w:cs="Arial"/>
          <w:sz w:val="16"/>
          <w:szCs w:val="16"/>
        </w:rPr>
        <w:t xml:space="preserve"> ultimo 2019</w:t>
      </w:r>
      <w:r w:rsidRPr="004A03EE">
        <w:rPr>
          <w:rFonts w:ascii="Arial" w:hAnsi="Arial" w:cs="Arial"/>
          <w:sz w:val="16"/>
          <w:szCs w:val="16"/>
        </w:rPr>
        <w:t>. Det har baggrund i opgørelsesmetoden, hvorfor ultimotallene i Danmarks Statistik er en anelse lavere i forhold til DemoGrafix. Det har dog ikke betydning for placeringen i den nederste del af feltet</w:t>
      </w:r>
    </w:p>
    <w:p w:rsidR="00923039" w:rsidRPr="00D30D29" w:rsidRDefault="00923039" w:rsidP="006D04C4">
      <w:pPr>
        <w:pStyle w:val="Normal1"/>
        <w:rPr>
          <w:rFonts w:asciiTheme="minorHAnsi" w:hAnsiTheme="minorHAnsi" w:cstheme="minorHAnsi"/>
          <w:sz w:val="18"/>
          <w:szCs w:val="18"/>
          <w:highlight w:val="yellow"/>
        </w:rPr>
      </w:pPr>
    </w:p>
    <w:p w:rsidR="00B61B92" w:rsidRDefault="006D04C4" w:rsidP="00A9702C">
      <w:pPr>
        <w:pStyle w:val="Normal1"/>
        <w:rPr>
          <w:rFonts w:ascii="Arial" w:hAnsi="Arial" w:cs="Arial"/>
          <w:sz w:val="22"/>
          <w:szCs w:val="22"/>
          <w:lang w:eastAsia="en-US"/>
        </w:rPr>
      </w:pPr>
      <w:r w:rsidRPr="00A9702C">
        <w:rPr>
          <w:rFonts w:ascii="Arial" w:hAnsi="Arial" w:cs="Arial"/>
          <w:sz w:val="22"/>
          <w:szCs w:val="22"/>
          <w:lang w:eastAsia="en-US"/>
        </w:rPr>
        <w:t xml:space="preserve">Af tabellen fremgår det, at </w:t>
      </w:r>
      <w:r w:rsidR="00B61B92">
        <w:rPr>
          <w:rFonts w:ascii="Arial" w:hAnsi="Arial" w:cs="Arial"/>
          <w:sz w:val="22"/>
          <w:szCs w:val="22"/>
          <w:lang w:eastAsia="en-US"/>
        </w:rPr>
        <w:t>Fanø og Glostrup</w:t>
      </w:r>
      <w:r w:rsidRPr="00A9702C">
        <w:rPr>
          <w:rFonts w:ascii="Arial" w:hAnsi="Arial" w:cs="Arial"/>
          <w:sz w:val="22"/>
          <w:szCs w:val="22"/>
          <w:lang w:eastAsia="en-US"/>
        </w:rPr>
        <w:t xml:space="preserve"> kommuner har haft størst vækst i befolknin</w:t>
      </w:r>
      <w:r w:rsidR="00923039" w:rsidRPr="00A9702C">
        <w:rPr>
          <w:rFonts w:ascii="Arial" w:hAnsi="Arial" w:cs="Arial"/>
          <w:sz w:val="22"/>
          <w:szCs w:val="22"/>
          <w:lang w:eastAsia="en-US"/>
        </w:rPr>
        <w:t>gsta</w:t>
      </w:r>
      <w:r w:rsidR="00052554">
        <w:rPr>
          <w:rFonts w:ascii="Arial" w:hAnsi="Arial" w:cs="Arial"/>
          <w:sz w:val="22"/>
          <w:szCs w:val="22"/>
          <w:lang w:eastAsia="en-US"/>
        </w:rPr>
        <w:t>llet med stigninger på hhv. 2,5</w:t>
      </w:r>
      <w:r w:rsidRPr="00A9702C">
        <w:rPr>
          <w:rFonts w:ascii="Arial" w:hAnsi="Arial" w:cs="Arial"/>
          <w:sz w:val="22"/>
          <w:szCs w:val="22"/>
          <w:lang w:eastAsia="en-US"/>
        </w:rPr>
        <w:t xml:space="preserve"> pct. og </w:t>
      </w:r>
      <w:r w:rsidR="00052554">
        <w:rPr>
          <w:rFonts w:ascii="Arial" w:hAnsi="Arial" w:cs="Arial"/>
          <w:sz w:val="22"/>
          <w:szCs w:val="22"/>
          <w:lang w:eastAsia="en-US"/>
        </w:rPr>
        <w:t>2,3</w:t>
      </w:r>
      <w:r w:rsidRPr="00A9702C">
        <w:rPr>
          <w:rFonts w:ascii="Arial" w:hAnsi="Arial" w:cs="Arial"/>
          <w:sz w:val="22"/>
          <w:szCs w:val="22"/>
          <w:lang w:eastAsia="en-US"/>
        </w:rPr>
        <w:t xml:space="preserve"> pct., mens en række udkantskommuner – og særligt ø-</w:t>
      </w:r>
      <w:r w:rsidRPr="00A9702C">
        <w:rPr>
          <w:rFonts w:ascii="Arial" w:hAnsi="Arial" w:cs="Arial"/>
          <w:sz w:val="22"/>
          <w:szCs w:val="22"/>
          <w:lang w:eastAsia="en-US"/>
        </w:rPr>
        <w:lastRenderedPageBreak/>
        <w:t xml:space="preserve">kommuner – indtager bunden med fald i </w:t>
      </w:r>
      <w:r w:rsidR="00B61B92">
        <w:rPr>
          <w:rFonts w:ascii="Arial" w:hAnsi="Arial" w:cs="Arial"/>
          <w:sz w:val="22"/>
          <w:szCs w:val="22"/>
          <w:lang w:eastAsia="en-US"/>
        </w:rPr>
        <w:t>befolkningstallet på mellem -1,1</w:t>
      </w:r>
      <w:r w:rsidR="00923039" w:rsidRPr="00A9702C">
        <w:rPr>
          <w:rFonts w:ascii="Arial" w:hAnsi="Arial" w:cs="Arial"/>
          <w:sz w:val="22"/>
          <w:szCs w:val="22"/>
          <w:lang w:eastAsia="en-US"/>
        </w:rPr>
        <w:t xml:space="preserve"> pct. og knap </w:t>
      </w:r>
      <w:r w:rsidR="00532902">
        <w:rPr>
          <w:rFonts w:ascii="Arial" w:hAnsi="Arial" w:cs="Arial"/>
          <w:sz w:val="22"/>
          <w:szCs w:val="22"/>
          <w:lang w:eastAsia="en-US"/>
        </w:rPr>
        <w:t>-</w:t>
      </w:r>
      <w:r w:rsidR="00B61B92">
        <w:rPr>
          <w:rFonts w:ascii="Arial" w:hAnsi="Arial" w:cs="Arial"/>
          <w:sz w:val="22"/>
          <w:szCs w:val="22"/>
          <w:lang w:eastAsia="en-US"/>
        </w:rPr>
        <w:t>1,6</w:t>
      </w:r>
      <w:r w:rsidR="00923039" w:rsidRPr="00A9702C">
        <w:rPr>
          <w:rFonts w:ascii="Arial" w:hAnsi="Arial" w:cs="Arial"/>
          <w:sz w:val="22"/>
          <w:szCs w:val="22"/>
          <w:lang w:eastAsia="en-US"/>
        </w:rPr>
        <w:t xml:space="preserve"> %</w:t>
      </w:r>
      <w:r w:rsidRPr="00A9702C">
        <w:rPr>
          <w:rFonts w:ascii="Arial" w:hAnsi="Arial" w:cs="Arial"/>
          <w:sz w:val="22"/>
          <w:szCs w:val="22"/>
          <w:lang w:eastAsia="en-US"/>
        </w:rPr>
        <w:t xml:space="preserve"> pct. </w:t>
      </w:r>
    </w:p>
    <w:p w:rsidR="00B61B92" w:rsidRDefault="00B61B92" w:rsidP="00A9702C">
      <w:pPr>
        <w:pStyle w:val="Normal1"/>
        <w:rPr>
          <w:rFonts w:ascii="Arial" w:hAnsi="Arial" w:cs="Arial"/>
          <w:sz w:val="22"/>
          <w:szCs w:val="22"/>
          <w:lang w:eastAsia="en-US"/>
        </w:rPr>
      </w:pPr>
    </w:p>
    <w:p w:rsidR="006D04C4" w:rsidRDefault="006D04C4" w:rsidP="00A9702C">
      <w:pPr>
        <w:pStyle w:val="Normal1"/>
        <w:rPr>
          <w:rFonts w:ascii="Arial" w:hAnsi="Arial" w:cs="Arial"/>
          <w:sz w:val="22"/>
          <w:szCs w:val="22"/>
          <w:lang w:eastAsia="en-US"/>
        </w:rPr>
      </w:pPr>
      <w:r w:rsidRPr="00A9702C">
        <w:rPr>
          <w:rFonts w:ascii="Arial" w:hAnsi="Arial" w:cs="Arial"/>
          <w:sz w:val="22"/>
          <w:szCs w:val="22"/>
          <w:lang w:eastAsia="en-US"/>
        </w:rPr>
        <w:t xml:space="preserve">I den nederste halvdel finder man </w:t>
      </w:r>
      <w:r w:rsidR="00B61B92">
        <w:rPr>
          <w:rFonts w:ascii="Arial" w:hAnsi="Arial" w:cs="Arial"/>
          <w:sz w:val="22"/>
          <w:szCs w:val="22"/>
          <w:lang w:eastAsia="en-US"/>
        </w:rPr>
        <w:t xml:space="preserve">igen </w:t>
      </w:r>
      <w:r w:rsidRPr="00A9702C">
        <w:rPr>
          <w:rFonts w:ascii="Arial" w:hAnsi="Arial" w:cs="Arial"/>
          <w:sz w:val="22"/>
          <w:szCs w:val="22"/>
          <w:lang w:eastAsia="en-US"/>
        </w:rPr>
        <w:t>Brøndby Kommune, som efter nogle år i top ti og midterfeltet nu har bevæget sig ned på en plads som num</w:t>
      </w:r>
      <w:r w:rsidR="00B61B92">
        <w:rPr>
          <w:rFonts w:ascii="Arial" w:hAnsi="Arial" w:cs="Arial"/>
          <w:sz w:val="22"/>
          <w:szCs w:val="22"/>
          <w:lang w:eastAsia="en-US"/>
        </w:rPr>
        <w:t>mer 92 mod sidste års plads som nr. 80</w:t>
      </w:r>
      <w:r w:rsidR="00923039" w:rsidRPr="00A9702C">
        <w:rPr>
          <w:rFonts w:ascii="Arial" w:hAnsi="Arial" w:cs="Arial"/>
          <w:sz w:val="22"/>
          <w:szCs w:val="22"/>
          <w:lang w:eastAsia="en-US"/>
        </w:rPr>
        <w:t>. Faldet</w:t>
      </w:r>
      <w:r w:rsidRPr="00A9702C">
        <w:rPr>
          <w:rFonts w:ascii="Arial" w:hAnsi="Arial" w:cs="Arial"/>
          <w:sz w:val="22"/>
          <w:szCs w:val="22"/>
          <w:lang w:eastAsia="en-US"/>
        </w:rPr>
        <w:t xml:space="preserve"> </w:t>
      </w:r>
      <w:r w:rsidR="00923039" w:rsidRPr="00A9702C">
        <w:rPr>
          <w:rFonts w:ascii="Arial" w:hAnsi="Arial" w:cs="Arial"/>
          <w:sz w:val="22"/>
          <w:szCs w:val="22"/>
          <w:lang w:eastAsia="en-US"/>
        </w:rPr>
        <w:t>i befolkningstallet udgør</w:t>
      </w:r>
      <w:r w:rsidRPr="00A9702C">
        <w:rPr>
          <w:rFonts w:ascii="Arial" w:hAnsi="Arial" w:cs="Arial"/>
          <w:sz w:val="22"/>
          <w:szCs w:val="22"/>
          <w:lang w:eastAsia="en-US"/>
        </w:rPr>
        <w:t xml:space="preserve"> </w:t>
      </w:r>
      <w:r w:rsidR="00052554">
        <w:rPr>
          <w:rFonts w:ascii="Arial" w:hAnsi="Arial" w:cs="Arial"/>
          <w:sz w:val="22"/>
          <w:szCs w:val="22"/>
          <w:lang w:eastAsia="en-US"/>
        </w:rPr>
        <w:t>-0,9</w:t>
      </w:r>
      <w:r w:rsidRPr="00A9702C">
        <w:rPr>
          <w:rFonts w:ascii="Arial" w:hAnsi="Arial" w:cs="Arial"/>
          <w:sz w:val="22"/>
          <w:szCs w:val="22"/>
          <w:lang w:eastAsia="en-US"/>
        </w:rPr>
        <w:t xml:space="preserve"> pct. Det er </w:t>
      </w:r>
      <w:r w:rsidR="00B61B92">
        <w:rPr>
          <w:rFonts w:ascii="Arial" w:hAnsi="Arial" w:cs="Arial"/>
          <w:sz w:val="22"/>
          <w:szCs w:val="22"/>
          <w:lang w:eastAsia="en-US"/>
        </w:rPr>
        <w:t>nu tredje</w:t>
      </w:r>
      <w:r w:rsidR="00923039" w:rsidRPr="00A9702C">
        <w:rPr>
          <w:rFonts w:ascii="Arial" w:hAnsi="Arial" w:cs="Arial"/>
          <w:sz w:val="22"/>
          <w:szCs w:val="22"/>
          <w:lang w:eastAsia="en-US"/>
        </w:rPr>
        <w:t xml:space="preserve"> år i træk</w:t>
      </w:r>
      <w:r w:rsidRPr="00A9702C">
        <w:rPr>
          <w:rFonts w:ascii="Arial" w:hAnsi="Arial" w:cs="Arial"/>
          <w:sz w:val="22"/>
          <w:szCs w:val="22"/>
          <w:lang w:eastAsia="en-US"/>
        </w:rPr>
        <w:t xml:space="preserve"> gang siden 2008, der opleves en negativ befolkningsudvikling i Brøndby Kommune</w:t>
      </w:r>
      <w:r w:rsidR="00C03F9D">
        <w:rPr>
          <w:rFonts w:ascii="Arial" w:hAnsi="Arial" w:cs="Arial"/>
          <w:sz w:val="22"/>
          <w:szCs w:val="22"/>
          <w:lang w:eastAsia="en-US"/>
        </w:rPr>
        <w:t>,</w:t>
      </w:r>
      <w:r w:rsidR="00923039" w:rsidRPr="00A9702C">
        <w:rPr>
          <w:rFonts w:ascii="Arial" w:hAnsi="Arial" w:cs="Arial"/>
          <w:sz w:val="22"/>
          <w:szCs w:val="22"/>
          <w:lang w:eastAsia="en-US"/>
        </w:rPr>
        <w:t xml:space="preserve"> som dog har sine naturlige grunde</w:t>
      </w:r>
      <w:r w:rsidRPr="00A9702C">
        <w:rPr>
          <w:rFonts w:ascii="Arial" w:hAnsi="Arial" w:cs="Arial"/>
          <w:sz w:val="22"/>
          <w:szCs w:val="22"/>
          <w:lang w:eastAsia="en-US"/>
        </w:rPr>
        <w:t xml:space="preserve">. </w:t>
      </w:r>
    </w:p>
    <w:p w:rsidR="00B61B92" w:rsidRPr="00A9702C" w:rsidRDefault="00B61B92" w:rsidP="00A9702C">
      <w:pPr>
        <w:pStyle w:val="Normal1"/>
        <w:rPr>
          <w:rFonts w:ascii="Arial" w:hAnsi="Arial" w:cs="Arial"/>
          <w:sz w:val="22"/>
          <w:szCs w:val="22"/>
          <w:lang w:eastAsia="en-US"/>
        </w:rPr>
      </w:pPr>
    </w:p>
    <w:p w:rsidR="000911CB" w:rsidRPr="00A9702C" w:rsidRDefault="000911CB" w:rsidP="00A9702C">
      <w:pPr>
        <w:pStyle w:val="Normal1"/>
        <w:rPr>
          <w:rFonts w:ascii="Arial" w:hAnsi="Arial" w:cs="Arial"/>
          <w:sz w:val="22"/>
          <w:szCs w:val="22"/>
          <w:lang w:eastAsia="en-US"/>
        </w:rPr>
      </w:pPr>
      <w:r w:rsidRPr="00A9702C">
        <w:rPr>
          <w:rFonts w:ascii="Arial" w:hAnsi="Arial" w:cs="Arial"/>
          <w:sz w:val="22"/>
          <w:szCs w:val="22"/>
          <w:lang w:eastAsia="en-US"/>
        </w:rPr>
        <w:t>Selve byudviklingen i Brøndby Kommu</w:t>
      </w:r>
      <w:r w:rsidR="00052554">
        <w:rPr>
          <w:rFonts w:ascii="Arial" w:hAnsi="Arial" w:cs="Arial"/>
          <w:sz w:val="22"/>
          <w:szCs w:val="22"/>
          <w:lang w:eastAsia="en-US"/>
        </w:rPr>
        <w:t>ne forventes at få en betydelig</w:t>
      </w:r>
      <w:r w:rsidRPr="00A9702C">
        <w:rPr>
          <w:rFonts w:ascii="Arial" w:hAnsi="Arial" w:cs="Arial"/>
          <w:sz w:val="22"/>
          <w:szCs w:val="22"/>
          <w:lang w:eastAsia="en-US"/>
        </w:rPr>
        <w:t xml:space="preserve"> positiv effekt på befolkningsudvik</w:t>
      </w:r>
      <w:r w:rsidR="00B61B92">
        <w:rPr>
          <w:rFonts w:ascii="Arial" w:hAnsi="Arial" w:cs="Arial"/>
          <w:sz w:val="22"/>
          <w:szCs w:val="22"/>
          <w:lang w:eastAsia="en-US"/>
        </w:rPr>
        <w:t>lingen. Hovedscenariet med ca. 2.1</w:t>
      </w:r>
      <w:r w:rsidRPr="00A9702C">
        <w:rPr>
          <w:rFonts w:ascii="Arial" w:hAnsi="Arial" w:cs="Arial"/>
          <w:sz w:val="22"/>
          <w:szCs w:val="22"/>
          <w:lang w:eastAsia="en-US"/>
        </w:rPr>
        <w:t>00 boliger frem mod 2025 fastholdes i denne befolkningsprognose</w:t>
      </w:r>
      <w:r w:rsidR="00C03F9D">
        <w:rPr>
          <w:rFonts w:ascii="Arial" w:hAnsi="Arial" w:cs="Arial"/>
          <w:sz w:val="22"/>
          <w:szCs w:val="22"/>
          <w:lang w:eastAsia="en-US"/>
        </w:rPr>
        <w:t>,</w:t>
      </w:r>
      <w:r w:rsidRPr="00A9702C">
        <w:rPr>
          <w:rFonts w:ascii="Arial" w:hAnsi="Arial" w:cs="Arial"/>
          <w:sz w:val="22"/>
          <w:szCs w:val="22"/>
          <w:lang w:eastAsia="en-US"/>
        </w:rPr>
        <w:t xml:space="preserve"> hvilket afspejler</w:t>
      </w:r>
      <w:r w:rsidR="00B61B92">
        <w:rPr>
          <w:rFonts w:ascii="Arial" w:hAnsi="Arial" w:cs="Arial"/>
          <w:sz w:val="22"/>
          <w:szCs w:val="22"/>
          <w:lang w:eastAsia="en-US"/>
        </w:rPr>
        <w:t xml:space="preserve"> sig i udviklingen især fra 2021</w:t>
      </w:r>
      <w:r w:rsidRPr="00A9702C">
        <w:rPr>
          <w:rFonts w:ascii="Arial" w:hAnsi="Arial" w:cs="Arial"/>
          <w:sz w:val="22"/>
          <w:szCs w:val="22"/>
          <w:lang w:eastAsia="en-US"/>
        </w:rPr>
        <w:t xml:space="preserve"> og frem. Det forventes ligeledes at de tomme lejligheder i Brøndby Strand</w:t>
      </w:r>
      <w:r w:rsidR="00C03F9D">
        <w:rPr>
          <w:rFonts w:ascii="Arial" w:hAnsi="Arial" w:cs="Arial"/>
          <w:sz w:val="22"/>
          <w:szCs w:val="22"/>
          <w:lang w:eastAsia="en-US"/>
        </w:rPr>
        <w:t>,</w:t>
      </w:r>
      <w:r w:rsidRPr="00A9702C">
        <w:rPr>
          <w:rFonts w:ascii="Arial" w:hAnsi="Arial" w:cs="Arial"/>
          <w:sz w:val="22"/>
          <w:szCs w:val="22"/>
          <w:lang w:eastAsia="en-US"/>
        </w:rPr>
        <w:t xml:space="preserve"> </w:t>
      </w:r>
      <w:r w:rsidR="00B61B92">
        <w:rPr>
          <w:rFonts w:ascii="Arial" w:hAnsi="Arial" w:cs="Arial"/>
          <w:sz w:val="22"/>
          <w:szCs w:val="22"/>
          <w:lang w:eastAsia="en-US"/>
        </w:rPr>
        <w:t>hvor fire ud af fem højhuse er taget ud af</w:t>
      </w:r>
      <w:r w:rsidRPr="00A9702C">
        <w:rPr>
          <w:rFonts w:ascii="Arial" w:hAnsi="Arial" w:cs="Arial"/>
          <w:sz w:val="22"/>
          <w:szCs w:val="22"/>
          <w:lang w:eastAsia="en-US"/>
        </w:rPr>
        <w:t xml:space="preserve"> prognosen</w:t>
      </w:r>
      <w:r w:rsidR="00C03F9D">
        <w:rPr>
          <w:rFonts w:ascii="Arial" w:hAnsi="Arial" w:cs="Arial"/>
          <w:sz w:val="22"/>
          <w:szCs w:val="22"/>
          <w:lang w:eastAsia="en-US"/>
        </w:rPr>
        <w:t>,</w:t>
      </w:r>
      <w:r w:rsidRPr="00A9702C">
        <w:rPr>
          <w:rFonts w:ascii="Arial" w:hAnsi="Arial" w:cs="Arial"/>
          <w:sz w:val="22"/>
          <w:szCs w:val="22"/>
          <w:lang w:eastAsia="en-US"/>
        </w:rPr>
        <w:t xml:space="preserve"> er ved at vi</w:t>
      </w:r>
      <w:r w:rsidR="00052554">
        <w:rPr>
          <w:rFonts w:ascii="Arial" w:hAnsi="Arial" w:cs="Arial"/>
          <w:sz w:val="22"/>
          <w:szCs w:val="22"/>
          <w:lang w:eastAsia="en-US"/>
        </w:rPr>
        <w:t xml:space="preserve">se sin fulde effekt. Det </w:t>
      </w:r>
      <w:r w:rsidRPr="00A9702C">
        <w:rPr>
          <w:rFonts w:ascii="Arial" w:hAnsi="Arial" w:cs="Arial"/>
          <w:sz w:val="22"/>
          <w:szCs w:val="22"/>
          <w:lang w:eastAsia="en-US"/>
        </w:rPr>
        <w:t>forventes</w:t>
      </w:r>
      <w:r w:rsidR="00C03F9D">
        <w:rPr>
          <w:rFonts w:ascii="Arial" w:hAnsi="Arial" w:cs="Arial"/>
          <w:sz w:val="22"/>
          <w:szCs w:val="22"/>
          <w:lang w:eastAsia="en-US"/>
        </w:rPr>
        <w:t>,</w:t>
      </w:r>
      <w:r w:rsidR="00052554">
        <w:rPr>
          <w:rFonts w:ascii="Arial" w:hAnsi="Arial" w:cs="Arial"/>
          <w:sz w:val="22"/>
          <w:szCs w:val="22"/>
          <w:lang w:eastAsia="en-US"/>
        </w:rPr>
        <w:t xml:space="preserve"> at der vil opleves en lille</w:t>
      </w:r>
      <w:r w:rsidRPr="00A9702C">
        <w:rPr>
          <w:rFonts w:ascii="Arial" w:hAnsi="Arial" w:cs="Arial"/>
          <w:sz w:val="22"/>
          <w:szCs w:val="22"/>
          <w:lang w:eastAsia="en-US"/>
        </w:rPr>
        <w:t xml:space="preserve"> </w:t>
      </w:r>
      <w:r w:rsidR="00052554">
        <w:rPr>
          <w:rFonts w:ascii="Arial" w:hAnsi="Arial" w:cs="Arial"/>
          <w:sz w:val="22"/>
          <w:szCs w:val="22"/>
          <w:lang w:eastAsia="en-US"/>
        </w:rPr>
        <w:t>stigning</w:t>
      </w:r>
      <w:r w:rsidRPr="00A9702C">
        <w:rPr>
          <w:rFonts w:ascii="Arial" w:hAnsi="Arial" w:cs="Arial"/>
          <w:sz w:val="22"/>
          <w:szCs w:val="22"/>
          <w:lang w:eastAsia="en-US"/>
        </w:rPr>
        <w:t xml:space="preserve"> i befolkningstallet</w:t>
      </w:r>
      <w:r w:rsidR="00C03F9D">
        <w:rPr>
          <w:rFonts w:ascii="Arial" w:hAnsi="Arial" w:cs="Arial"/>
          <w:sz w:val="22"/>
          <w:szCs w:val="22"/>
          <w:lang w:eastAsia="en-US"/>
        </w:rPr>
        <w:t>,</w:t>
      </w:r>
      <w:r w:rsidR="00B61B92">
        <w:rPr>
          <w:rFonts w:ascii="Arial" w:hAnsi="Arial" w:cs="Arial"/>
          <w:sz w:val="22"/>
          <w:szCs w:val="22"/>
          <w:lang w:eastAsia="en-US"/>
        </w:rPr>
        <w:t xml:space="preserve"> når 2020</w:t>
      </w:r>
      <w:r w:rsidRPr="00A9702C">
        <w:rPr>
          <w:rFonts w:ascii="Arial" w:hAnsi="Arial" w:cs="Arial"/>
          <w:sz w:val="22"/>
          <w:szCs w:val="22"/>
          <w:lang w:eastAsia="en-US"/>
        </w:rPr>
        <w:t xml:space="preserve"> skal gøres op. Herefter vil der </w:t>
      </w:r>
      <w:r w:rsidR="00B61B92">
        <w:rPr>
          <w:rFonts w:ascii="Arial" w:hAnsi="Arial" w:cs="Arial"/>
          <w:sz w:val="22"/>
          <w:szCs w:val="22"/>
          <w:lang w:eastAsia="en-US"/>
        </w:rPr>
        <w:t xml:space="preserve">forventeligt </w:t>
      </w:r>
      <w:r w:rsidRPr="00A9702C">
        <w:rPr>
          <w:rFonts w:ascii="Arial" w:hAnsi="Arial" w:cs="Arial"/>
          <w:sz w:val="22"/>
          <w:szCs w:val="22"/>
          <w:lang w:eastAsia="en-US"/>
        </w:rPr>
        <w:t>komme</w:t>
      </w:r>
      <w:r w:rsidR="00052554">
        <w:rPr>
          <w:rFonts w:ascii="Arial" w:hAnsi="Arial" w:cs="Arial"/>
          <w:sz w:val="22"/>
          <w:szCs w:val="22"/>
          <w:lang w:eastAsia="en-US"/>
        </w:rPr>
        <w:t xml:space="preserve"> flere kontinuerlige</w:t>
      </w:r>
      <w:r w:rsidRPr="00A9702C">
        <w:rPr>
          <w:rFonts w:ascii="Arial" w:hAnsi="Arial" w:cs="Arial"/>
          <w:sz w:val="22"/>
          <w:szCs w:val="22"/>
          <w:lang w:eastAsia="en-US"/>
        </w:rPr>
        <w:t xml:space="preserve"> stigninger</w:t>
      </w:r>
      <w:r w:rsidR="00C03F9D">
        <w:rPr>
          <w:rFonts w:ascii="Arial" w:hAnsi="Arial" w:cs="Arial"/>
          <w:sz w:val="22"/>
          <w:szCs w:val="22"/>
          <w:lang w:eastAsia="en-US"/>
        </w:rPr>
        <w:t>,</w:t>
      </w:r>
      <w:r w:rsidR="00052554">
        <w:rPr>
          <w:rFonts w:ascii="Arial" w:hAnsi="Arial" w:cs="Arial"/>
          <w:sz w:val="22"/>
          <w:szCs w:val="22"/>
          <w:lang w:eastAsia="en-US"/>
        </w:rPr>
        <w:t xml:space="preserve"> når</w:t>
      </w:r>
      <w:r w:rsidRPr="00A9702C">
        <w:rPr>
          <w:rFonts w:ascii="Arial" w:hAnsi="Arial" w:cs="Arial"/>
          <w:sz w:val="22"/>
          <w:szCs w:val="22"/>
          <w:lang w:eastAsia="en-US"/>
        </w:rPr>
        <w:t xml:space="preserve"> planer</w:t>
      </w:r>
      <w:r w:rsidR="00DE6D45" w:rsidRPr="00A9702C">
        <w:rPr>
          <w:rFonts w:ascii="Arial" w:hAnsi="Arial" w:cs="Arial"/>
          <w:sz w:val="22"/>
          <w:szCs w:val="22"/>
          <w:lang w:eastAsia="en-US"/>
        </w:rPr>
        <w:t>ne</w:t>
      </w:r>
      <w:r w:rsidRPr="00A9702C">
        <w:rPr>
          <w:rFonts w:ascii="Arial" w:hAnsi="Arial" w:cs="Arial"/>
          <w:sz w:val="22"/>
          <w:szCs w:val="22"/>
          <w:lang w:eastAsia="en-US"/>
        </w:rPr>
        <w:t xml:space="preserve"> om blandt Kir</w:t>
      </w:r>
      <w:r w:rsidR="00DE6D45" w:rsidRPr="00A9702C">
        <w:rPr>
          <w:rFonts w:ascii="Arial" w:hAnsi="Arial" w:cs="Arial"/>
          <w:sz w:val="22"/>
          <w:szCs w:val="22"/>
          <w:lang w:eastAsia="en-US"/>
        </w:rPr>
        <w:t>kebjerg begynder at tage fart.</w:t>
      </w:r>
    </w:p>
    <w:p w:rsidR="000911CB" w:rsidRDefault="000911CB" w:rsidP="006D04C4"/>
    <w:p w:rsidR="006D04C4" w:rsidRPr="00A940A6" w:rsidRDefault="006D04C4" w:rsidP="006D04C4">
      <w:pPr>
        <w:pStyle w:val="Overskrift1"/>
        <w:keepLines w:val="0"/>
        <w:numPr>
          <w:ilvl w:val="0"/>
          <w:numId w:val="5"/>
        </w:numPr>
        <w:tabs>
          <w:tab w:val="num" w:pos="574"/>
        </w:tabs>
        <w:spacing w:before="240" w:after="60"/>
        <w:ind w:hanging="574"/>
      </w:pPr>
      <w:r w:rsidRPr="00D30D29">
        <w:rPr>
          <w:highlight w:val="yellow"/>
        </w:rPr>
        <w:br w:type="page"/>
      </w:r>
      <w:bookmarkStart w:id="12" w:name="_Toc38355999"/>
      <w:r w:rsidRPr="00A940A6">
        <w:lastRenderedPageBreak/>
        <w:t>Prognose</w:t>
      </w:r>
      <w:bookmarkEnd w:id="12"/>
    </w:p>
    <w:p w:rsidR="006D04C4" w:rsidRPr="00F22DAC" w:rsidRDefault="00297160" w:rsidP="006D04C4">
      <w:pPr>
        <w:pStyle w:val="Normal1"/>
        <w:rPr>
          <w:rFonts w:ascii="Arial" w:hAnsi="Arial" w:cs="Arial"/>
          <w:sz w:val="22"/>
          <w:szCs w:val="22"/>
          <w:lang w:eastAsia="en-US"/>
        </w:rPr>
      </w:pPr>
      <w:r>
        <w:rPr>
          <w:rFonts w:ascii="Arial" w:hAnsi="Arial" w:cs="Arial"/>
          <w:sz w:val="22"/>
          <w:szCs w:val="22"/>
          <w:lang w:eastAsia="en-US"/>
        </w:rPr>
        <w:t>I dette kapitel</w:t>
      </w:r>
      <w:r w:rsidR="006D04C4" w:rsidRPr="00F22DAC">
        <w:rPr>
          <w:rFonts w:ascii="Arial" w:hAnsi="Arial" w:cs="Arial"/>
          <w:sz w:val="22"/>
          <w:szCs w:val="22"/>
          <w:lang w:eastAsia="en-US"/>
        </w:rPr>
        <w:t xml:space="preserve"> præsenteres </w:t>
      </w:r>
      <w:r>
        <w:rPr>
          <w:rFonts w:ascii="Arial" w:hAnsi="Arial" w:cs="Arial"/>
          <w:sz w:val="22"/>
          <w:szCs w:val="22"/>
          <w:lang w:eastAsia="en-US"/>
        </w:rPr>
        <w:t xml:space="preserve">først </w:t>
      </w:r>
      <w:r w:rsidR="006D04C4" w:rsidRPr="00F22DAC">
        <w:rPr>
          <w:rFonts w:ascii="Arial" w:hAnsi="Arial" w:cs="Arial"/>
          <w:sz w:val="22"/>
          <w:szCs w:val="22"/>
          <w:lang w:eastAsia="en-US"/>
        </w:rPr>
        <w:t>prognosens h</w:t>
      </w:r>
      <w:r w:rsidR="00744253">
        <w:rPr>
          <w:rFonts w:ascii="Arial" w:hAnsi="Arial" w:cs="Arial"/>
          <w:sz w:val="22"/>
          <w:szCs w:val="22"/>
          <w:lang w:eastAsia="en-US"/>
        </w:rPr>
        <w:t>ovedresultater for perioden 2020-2030</w:t>
      </w:r>
      <w:r w:rsidR="006D04C4" w:rsidRPr="00F22DAC">
        <w:rPr>
          <w:rFonts w:ascii="Arial" w:hAnsi="Arial" w:cs="Arial"/>
          <w:sz w:val="22"/>
          <w:szCs w:val="22"/>
          <w:lang w:eastAsia="en-US"/>
        </w:rPr>
        <w:t>.</w:t>
      </w:r>
      <w:r>
        <w:rPr>
          <w:rFonts w:ascii="Arial" w:hAnsi="Arial" w:cs="Arial"/>
          <w:sz w:val="22"/>
          <w:szCs w:val="22"/>
          <w:lang w:eastAsia="en-US"/>
        </w:rPr>
        <w:t xml:space="preserve"> Herefter i</w:t>
      </w:r>
      <w:r w:rsidR="006D04C4" w:rsidRPr="00F22DAC">
        <w:rPr>
          <w:rFonts w:ascii="Arial" w:hAnsi="Arial" w:cs="Arial"/>
          <w:sz w:val="22"/>
          <w:szCs w:val="22"/>
          <w:lang w:eastAsia="en-US"/>
        </w:rPr>
        <w:t xml:space="preserve"> afsnit 4.2 fokuseres der på udviklingen i og imellem kommunens tre bydele; Brøndbyvester, Brøndb</w:t>
      </w:r>
      <w:r w:rsidR="00744253">
        <w:rPr>
          <w:rFonts w:ascii="Arial" w:hAnsi="Arial" w:cs="Arial"/>
          <w:sz w:val="22"/>
          <w:szCs w:val="22"/>
          <w:lang w:eastAsia="en-US"/>
        </w:rPr>
        <w:t>yøster og Brøndby Strand. I den</w:t>
      </w:r>
      <w:r w:rsidR="006D04C4" w:rsidRPr="00F22DAC">
        <w:rPr>
          <w:rFonts w:ascii="Arial" w:hAnsi="Arial" w:cs="Arial"/>
          <w:sz w:val="22"/>
          <w:szCs w:val="22"/>
          <w:lang w:eastAsia="en-US"/>
        </w:rPr>
        <w:t xml:space="preserve"> forbindelse behandles samtidig udviklingen blandt børn i den skolepligtige alder, i og med at der er sammenfald mellem kommunens bydelsgrænser og kommunens skoledistrikter.</w:t>
      </w:r>
    </w:p>
    <w:p w:rsidR="006D04C4" w:rsidRPr="00A940A6" w:rsidRDefault="006D04C4" w:rsidP="006D04C4">
      <w:pPr>
        <w:pStyle w:val="Overskrift2"/>
        <w:keepLines w:val="0"/>
        <w:numPr>
          <w:ilvl w:val="1"/>
          <w:numId w:val="5"/>
        </w:numPr>
        <w:spacing w:before="240" w:after="60"/>
        <w:jc w:val="both"/>
      </w:pPr>
      <w:bookmarkStart w:id="13" w:name="_Toc38356000"/>
      <w:r w:rsidRPr="00A940A6">
        <w:t>Befolkningsfremskrivning for hele kommunen</w:t>
      </w:r>
      <w:bookmarkEnd w:id="13"/>
    </w:p>
    <w:p w:rsidR="006D04C4" w:rsidRPr="00297160" w:rsidRDefault="006D04C4" w:rsidP="006D04C4">
      <w:pPr>
        <w:pStyle w:val="Normal1"/>
        <w:rPr>
          <w:rFonts w:ascii="Arial" w:hAnsi="Arial" w:cs="Arial"/>
          <w:sz w:val="22"/>
          <w:szCs w:val="22"/>
          <w:lang w:eastAsia="en-US"/>
        </w:rPr>
      </w:pPr>
      <w:r w:rsidRPr="00297160">
        <w:rPr>
          <w:rFonts w:ascii="Arial" w:hAnsi="Arial" w:cs="Arial"/>
          <w:sz w:val="22"/>
          <w:szCs w:val="22"/>
          <w:lang w:eastAsia="en-US"/>
        </w:rPr>
        <w:t>I afsnit 4.1 gennemgås befolkningsudviklingen</w:t>
      </w:r>
      <w:r w:rsidR="00297160">
        <w:rPr>
          <w:rFonts w:ascii="Arial" w:hAnsi="Arial" w:cs="Arial"/>
          <w:sz w:val="22"/>
          <w:szCs w:val="22"/>
          <w:lang w:eastAsia="en-US"/>
        </w:rPr>
        <w:t xml:space="preserve"> for Brøndby Kommune totalt set</w:t>
      </w:r>
      <w:r w:rsidR="00297160" w:rsidRPr="00297160">
        <w:rPr>
          <w:rFonts w:ascii="Arial" w:hAnsi="Arial" w:cs="Arial"/>
          <w:sz w:val="22"/>
          <w:szCs w:val="22"/>
          <w:lang w:eastAsia="en-US"/>
        </w:rPr>
        <w:t xml:space="preserve"> </w:t>
      </w:r>
      <w:r w:rsidR="00297160" w:rsidRPr="00F22DAC">
        <w:rPr>
          <w:rFonts w:ascii="Arial" w:hAnsi="Arial" w:cs="Arial"/>
          <w:sz w:val="22"/>
          <w:szCs w:val="22"/>
          <w:lang w:eastAsia="en-US"/>
        </w:rPr>
        <w:t>på det overordnede niveau – dvs. befolkningsudviklingen for Brøndby Kommune totalt set</w:t>
      </w:r>
      <w:r w:rsidR="00297160">
        <w:rPr>
          <w:rFonts w:ascii="Arial" w:hAnsi="Arial" w:cs="Arial"/>
          <w:sz w:val="22"/>
          <w:szCs w:val="22"/>
          <w:lang w:eastAsia="en-US"/>
        </w:rPr>
        <w:t>.</w:t>
      </w:r>
    </w:p>
    <w:p w:rsidR="006D04C4" w:rsidRPr="00A940A6" w:rsidRDefault="006D04C4" w:rsidP="006D04C4">
      <w:pPr>
        <w:pStyle w:val="Overskrift3"/>
        <w:numPr>
          <w:ilvl w:val="2"/>
          <w:numId w:val="5"/>
        </w:numPr>
        <w:tabs>
          <w:tab w:val="clear" w:pos="720"/>
        </w:tabs>
      </w:pPr>
      <w:bookmarkStart w:id="14" w:name="_Toc38356001"/>
      <w:r w:rsidRPr="00A940A6">
        <w:t>Overordnet udvikling</w:t>
      </w:r>
      <w:bookmarkEnd w:id="14"/>
    </w:p>
    <w:p w:rsidR="006D04C4" w:rsidRPr="00A940A6" w:rsidRDefault="006D04C4" w:rsidP="006D04C4">
      <w:r w:rsidRPr="00A940A6">
        <w:t xml:space="preserve">I figur </w:t>
      </w:r>
      <w:r>
        <w:t xml:space="preserve">7 </w:t>
      </w:r>
      <w:r w:rsidRPr="00A940A6">
        <w:t>sammenholdes den historiske udvikling i befolkningst</w:t>
      </w:r>
      <w:r w:rsidR="00052554">
        <w:t>allet i Brøndby Kommune fra 1981-2019</w:t>
      </w:r>
      <w:r w:rsidRPr="00A940A6">
        <w:t xml:space="preserve"> med </w:t>
      </w:r>
      <w:r w:rsidR="00744253">
        <w:t>prognosens fremskrivning for 2020-2030</w:t>
      </w:r>
      <w:r w:rsidRPr="00A940A6">
        <w:t>.</w:t>
      </w:r>
    </w:p>
    <w:p w:rsidR="006D04C4" w:rsidRPr="00D30D29" w:rsidRDefault="006D04C4" w:rsidP="006D04C4">
      <w:pPr>
        <w:rPr>
          <w:highlight w:val="yellow"/>
        </w:rPr>
      </w:pPr>
    </w:p>
    <w:p w:rsidR="006D04C4" w:rsidRDefault="006D04C4" w:rsidP="006D04C4">
      <w:r w:rsidRPr="00710D93">
        <w:t>Som det fremgår af figuren, var befolkningstallet i Brøndby</w:t>
      </w:r>
      <w:r w:rsidR="00052554">
        <w:t xml:space="preserve"> Kommune jævnt faldende fra 1981</w:t>
      </w:r>
      <w:r w:rsidRPr="00710D93">
        <w:t xml:space="preserve"> til 1995. Fra midten af 1990’erne påvirkes udviklingen af en kombination af tilflytningen af en større gruppe bosniske flygtninge og et relativt stor</w:t>
      </w:r>
      <w:r w:rsidR="00052554">
        <w:t>t boligbyggeri</w:t>
      </w:r>
      <w:r w:rsidRPr="00710D93">
        <w:t xml:space="preserve">. Hovedårsagen til den markante stigning på 809 personer fra 1995 til 1996 skal findes i tilflytningen af de bosniske flygtninge, mens den stabile og let opadgående kurve fra medio 1990’erne til medio 2000’erne også skyldes det omtalte boligbyggeri. </w:t>
      </w:r>
    </w:p>
    <w:p w:rsidR="006D04C4" w:rsidRDefault="006D04C4" w:rsidP="006D04C4"/>
    <w:p w:rsidR="00080358" w:rsidRDefault="006D04C4" w:rsidP="006D04C4">
      <w:r w:rsidRPr="00710D93">
        <w:t xml:space="preserve">Fra midten af 00’erne sætter en nedadgående tendens ind, som forløber frem til slutningen af 00’erne. </w:t>
      </w:r>
      <w:r w:rsidRPr="009563B3">
        <w:t xml:space="preserve">Således reduceres befolkningstallet over en femårig periode fra primo 2004 til ultimo 2008 med 946 personer. Fra 2009 og frem til </w:t>
      </w:r>
      <w:r w:rsidR="0098537D">
        <w:t>primo 2017</w:t>
      </w:r>
      <w:r w:rsidRPr="009563B3">
        <w:t>, kan der igen konstateres en stigende tendens i befolkningstallet</w:t>
      </w:r>
      <w:r w:rsidR="0098537D">
        <w:t xml:space="preserve">, mens </w:t>
      </w:r>
      <w:r w:rsidR="00F22769">
        <w:t>der både med udgangen af 2017,</w:t>
      </w:r>
      <w:r>
        <w:t xml:space="preserve"> 2018</w:t>
      </w:r>
      <w:r w:rsidR="00F22769">
        <w:t xml:space="preserve"> og 2019</w:t>
      </w:r>
      <w:r>
        <w:t xml:space="preserve"> kunne konstateres et fald på</w:t>
      </w:r>
      <w:r w:rsidR="0098537D">
        <w:t xml:space="preserve"> henholdsvis</w:t>
      </w:r>
      <w:r>
        <w:t xml:space="preserve"> 60</w:t>
      </w:r>
      <w:r w:rsidR="00F22769">
        <w:t>,</w:t>
      </w:r>
      <w:r w:rsidR="0098537D">
        <w:t xml:space="preserve"> 148</w:t>
      </w:r>
      <w:r w:rsidR="00F22769">
        <w:t xml:space="preserve"> og 299</w:t>
      </w:r>
      <w:r>
        <w:t xml:space="preserve"> personer.</w:t>
      </w:r>
      <w:r w:rsidRPr="009563B3">
        <w:t xml:space="preserve"> </w:t>
      </w:r>
      <w:r w:rsidRPr="00080358">
        <w:t xml:space="preserve">Således er der fra primo </w:t>
      </w:r>
      <w:r w:rsidR="00052554">
        <w:t>2011</w:t>
      </w:r>
      <w:r w:rsidR="00F22769">
        <w:t xml:space="preserve"> til primo 2020</w:t>
      </w:r>
      <w:r w:rsidRPr="00080358">
        <w:t xml:space="preserve"> blevet 1.</w:t>
      </w:r>
      <w:r w:rsidR="00052554">
        <w:t>099</w:t>
      </w:r>
      <w:r w:rsidRPr="00080358">
        <w:t xml:space="preserve"> flere borgere i Brøndby Kommune, svarende til </w:t>
      </w:r>
      <w:r w:rsidR="00052554">
        <w:t>knap 3,2</w:t>
      </w:r>
      <w:r w:rsidRPr="00080358">
        <w:t xml:space="preserve"> pct.</w:t>
      </w:r>
      <w:r w:rsidR="0098537D">
        <w:t xml:space="preserve"> </w:t>
      </w:r>
    </w:p>
    <w:p w:rsidR="00080358" w:rsidRDefault="00080358" w:rsidP="006D04C4"/>
    <w:p w:rsidR="006D04C4" w:rsidRDefault="00F22769" w:rsidP="006D04C4">
      <w:r>
        <w:t>Primotallet for 2020</w:t>
      </w:r>
      <w:r w:rsidR="006D04C4">
        <w:t xml:space="preserve"> (som er det</w:t>
      </w:r>
      <w:r>
        <w:t xml:space="preserve"> samme som ultimotallet for 2019</w:t>
      </w:r>
      <w:r w:rsidR="0098537D">
        <w:t xml:space="preserve"> og altså hvad vi sluttede å</w:t>
      </w:r>
      <w:r>
        <w:t>ret med) landede på i alt 35.094</w:t>
      </w:r>
      <w:r w:rsidR="006D04C4">
        <w:t xml:space="preserve"> borgere i Brøndby Kommune.</w:t>
      </w:r>
      <w:r>
        <w:t xml:space="preserve"> </w:t>
      </w:r>
    </w:p>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2A4394" w:rsidRDefault="002A4394" w:rsidP="006D04C4"/>
    <w:p w:rsidR="00806CDA" w:rsidRPr="00806CDA" w:rsidRDefault="00806CDA" w:rsidP="006D04C4">
      <w:pPr>
        <w:rPr>
          <w:sz w:val="18"/>
          <w:szCs w:val="18"/>
        </w:rPr>
      </w:pPr>
      <w:r w:rsidRPr="00806CDA">
        <w:rPr>
          <w:b/>
          <w:sz w:val="18"/>
          <w:szCs w:val="18"/>
        </w:rPr>
        <w:t>Figur 7</w:t>
      </w:r>
      <w:r w:rsidRPr="00806CDA">
        <w:rPr>
          <w:sz w:val="18"/>
          <w:szCs w:val="18"/>
        </w:rPr>
        <w:t>. Histori</w:t>
      </w:r>
      <w:r w:rsidR="00941808">
        <w:rPr>
          <w:sz w:val="18"/>
          <w:szCs w:val="18"/>
        </w:rPr>
        <w:t>sk befolkningsudvikling fra 1981 til 2019</w:t>
      </w:r>
      <w:r w:rsidRPr="00806CDA">
        <w:rPr>
          <w:sz w:val="18"/>
          <w:szCs w:val="18"/>
        </w:rPr>
        <w:t xml:space="preserve"> ultimo – sammenholdt med fremskrev</w:t>
      </w:r>
      <w:r w:rsidR="00941808">
        <w:rPr>
          <w:sz w:val="18"/>
          <w:szCs w:val="18"/>
        </w:rPr>
        <w:t>et befolkningsudvikling til 2030 – absolut og indeks (2019</w:t>
      </w:r>
      <w:r w:rsidRPr="00806CDA">
        <w:rPr>
          <w:sz w:val="18"/>
          <w:szCs w:val="18"/>
        </w:rPr>
        <w:t>=100).</w:t>
      </w:r>
    </w:p>
    <w:p w:rsidR="00806CDA" w:rsidRDefault="00941808" w:rsidP="006D04C4">
      <w:r>
        <w:rPr>
          <w:noProof/>
        </w:rPr>
        <w:drawing>
          <wp:inline distT="0" distB="0" distL="0" distR="0" wp14:anchorId="7F1E4D0B" wp14:editId="55823B0F">
            <wp:extent cx="6120765" cy="3855085"/>
            <wp:effectExtent l="0" t="0" r="0" b="0"/>
            <wp:docPr id="11" name="Diagra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32902" w:rsidRDefault="00532902" w:rsidP="00532902">
      <w:r w:rsidRPr="005009D6">
        <w:lastRenderedPageBreak/>
        <w:t>Fra pr</w:t>
      </w:r>
      <w:r w:rsidR="00360020">
        <w:t>imo 2020 til primo 2030</w:t>
      </w:r>
      <w:r w:rsidRPr="005009D6">
        <w:t xml:space="preserve"> forventer prognosen en positiv udvikling i befolkningstallet, hvor der vil være tale om en stigning på </w:t>
      </w:r>
      <w:r w:rsidR="00360020">
        <w:t xml:space="preserve">4.081 personer, svarende til 11,6 pct. </w:t>
      </w:r>
    </w:p>
    <w:p w:rsidR="00360020" w:rsidRPr="005009D6" w:rsidRDefault="00360020" w:rsidP="00532902"/>
    <w:p w:rsidR="00532902" w:rsidRPr="005009D6" w:rsidRDefault="00532902" w:rsidP="00532902">
      <w:r w:rsidRPr="005009D6">
        <w:t>Årsagerne til den forventede udvikling i befolkningsta</w:t>
      </w:r>
      <w:r w:rsidR="00360020">
        <w:t>llet med stigning frem imod 2030</w:t>
      </w:r>
      <w:r w:rsidRPr="005009D6">
        <w:t xml:space="preserve"> skal primært findes i et overve</w:t>
      </w:r>
      <w:r w:rsidR="00052554">
        <w:t>jende forklaringsparameter, nemlig boligbyggeprogrammet.</w:t>
      </w:r>
    </w:p>
    <w:p w:rsidR="00532902" w:rsidRPr="005009D6" w:rsidRDefault="00532902" w:rsidP="00532902"/>
    <w:p w:rsidR="00532902" w:rsidRDefault="00532902" w:rsidP="006D04C4">
      <w:r w:rsidRPr="00096A26">
        <w:t>Prognosen</w:t>
      </w:r>
      <w:r w:rsidRPr="005009D6">
        <w:t xml:space="preserve"> regner med, at boligbyggeriet </w:t>
      </w:r>
      <w:r>
        <w:t>er størst i årene 2020-2025 grundet udviklingen i Kirkebjerg</w:t>
      </w:r>
      <w:r w:rsidRPr="005009D6">
        <w:t>, hvilket bidrager til, at befolkningstallet er stødt stigende i denne periode.</w:t>
      </w:r>
      <w:r>
        <w:t xml:space="preserve"> Dertil kommer det øvrige forventede boligbygge</w:t>
      </w:r>
      <w:r w:rsidR="00052554">
        <w:t>ri som blandt andet indeholder 500 ungdomsboliger, at få det samlede antal boliger op på ca. 3000 stk. frem mod 2030.</w:t>
      </w:r>
      <w:r>
        <w:t xml:space="preserve">  </w:t>
      </w:r>
    </w:p>
    <w:p w:rsidR="00532902" w:rsidRDefault="00532902" w:rsidP="006D04C4">
      <w:pPr>
        <w:pStyle w:val="Overskrift3"/>
        <w:numPr>
          <w:ilvl w:val="2"/>
          <w:numId w:val="5"/>
        </w:numPr>
        <w:tabs>
          <w:tab w:val="clear" w:pos="720"/>
        </w:tabs>
      </w:pPr>
      <w:bookmarkStart w:id="15" w:name="_Toc38356002"/>
      <w:r>
        <w:t>Udviklingen i befolkningstallet, forventninger og fakta</w:t>
      </w:r>
      <w:bookmarkEnd w:id="15"/>
    </w:p>
    <w:p w:rsidR="00532902" w:rsidRDefault="005F43BC" w:rsidP="006D04C4">
      <w:r>
        <w:t>I det følgende beskrives udviklingen i befolkningstallet – hvad forventede vi</w:t>
      </w:r>
      <w:r w:rsidR="00287854">
        <w:t>,</w:t>
      </w:r>
      <w:r>
        <w:t xml:space="preserve"> og hvad endte det egentlig med. Hertil en opsamling på den samlede fl</w:t>
      </w:r>
      <w:r w:rsidR="00052554">
        <w:t>ytte- og fødselsbalance, hvad</w:t>
      </w:r>
      <w:r>
        <w:t xml:space="preserve"> forventede</w:t>
      </w:r>
      <w:r w:rsidR="00052554">
        <w:t xml:space="preserve"> vi (</w:t>
      </w:r>
      <w:r>
        <w:t>prognosen</w:t>
      </w:r>
      <w:r w:rsidR="00052554">
        <w:t>)</w:t>
      </w:r>
      <w:r w:rsidR="00287854">
        <w:t>,</w:t>
      </w:r>
      <w:r w:rsidR="00052554">
        <w:t xml:space="preserve"> og hvad</w:t>
      </w:r>
      <w:r>
        <w:t xml:space="preserve"> blev</w:t>
      </w:r>
      <w:r w:rsidR="00052554">
        <w:t xml:space="preserve"> det faktiske resultat</w:t>
      </w:r>
      <w:r>
        <w:t>. Fo</w:t>
      </w:r>
      <w:r w:rsidR="00052554">
        <w:t>r overskuelighedens skyld er udviklingen i indbyggertal og flytte- og fødselsbalance</w:t>
      </w:r>
      <w:r>
        <w:t xml:space="preserve"> </w:t>
      </w:r>
      <w:r w:rsidR="00080358">
        <w:t>indsat i</w:t>
      </w:r>
      <w:r>
        <w:t xml:space="preserve"> tekstbokse.</w:t>
      </w:r>
    </w:p>
    <w:p w:rsidR="00C210FB" w:rsidRDefault="00C210FB" w:rsidP="006D04C4"/>
    <w:p w:rsidR="006D04C4" w:rsidRDefault="006D04C4" w:rsidP="006F188F">
      <w:pPr>
        <w:pStyle w:val="Billedtekst"/>
        <w:keepNext/>
      </w:pPr>
      <w:r w:rsidRPr="006806EF">
        <w:rPr>
          <w:b/>
        </w:rPr>
        <w:t xml:space="preserve">Figur </w:t>
      </w:r>
      <w:r w:rsidRPr="006806EF">
        <w:rPr>
          <w:b/>
        </w:rPr>
        <w:fldChar w:fldCharType="begin"/>
      </w:r>
      <w:r w:rsidRPr="006806EF">
        <w:rPr>
          <w:b/>
        </w:rPr>
        <w:instrText xml:space="preserve"> SEQ Figur \* ALPHABETIC </w:instrText>
      </w:r>
      <w:r w:rsidRPr="006806EF">
        <w:rPr>
          <w:b/>
        </w:rPr>
        <w:fldChar w:fldCharType="separate"/>
      </w:r>
      <w:r w:rsidR="00313F67">
        <w:rPr>
          <w:b/>
          <w:noProof/>
        </w:rPr>
        <w:t>D</w:t>
      </w:r>
      <w:r w:rsidRPr="006806EF">
        <w:rPr>
          <w:b/>
        </w:rPr>
        <w:fldChar w:fldCharType="end"/>
      </w:r>
      <w:r w:rsidRPr="006806EF">
        <w:rPr>
          <w:b/>
        </w:rPr>
        <w:t>.</w:t>
      </w:r>
      <w:r>
        <w:t xml:space="preserve"> Afvigelse mellem prognose og faktisk tal på</w:t>
      </w:r>
      <w:r w:rsidR="002113DF">
        <w:t xml:space="preserve"> samlet befolkningstal ultimo 2019</w:t>
      </w:r>
      <w:r>
        <w:t>.</w:t>
      </w:r>
    </w:p>
    <w:tbl>
      <w:tblPr>
        <w:tblW w:w="5000" w:type="pct"/>
        <w:tblCellMar>
          <w:left w:w="70" w:type="dxa"/>
          <w:right w:w="70" w:type="dxa"/>
        </w:tblCellMar>
        <w:tblLook w:val="04A0" w:firstRow="1" w:lastRow="0" w:firstColumn="1" w:lastColumn="0" w:noHBand="0" w:noVBand="1"/>
      </w:tblPr>
      <w:tblGrid>
        <w:gridCol w:w="3489"/>
        <w:gridCol w:w="1787"/>
        <w:gridCol w:w="2502"/>
        <w:gridCol w:w="1851"/>
      </w:tblGrid>
      <w:tr w:rsidR="00096A26" w:rsidRPr="002A4394" w:rsidTr="00532902">
        <w:trPr>
          <w:trHeight w:val="375"/>
        </w:trPr>
        <w:tc>
          <w:tcPr>
            <w:tcW w:w="5000" w:type="pct"/>
            <w:gridSpan w:val="4"/>
            <w:tcBorders>
              <w:top w:val="single" w:sz="4" w:space="0" w:color="auto"/>
              <w:left w:val="single" w:sz="4" w:space="0" w:color="auto"/>
              <w:bottom w:val="nil"/>
              <w:right w:val="single" w:sz="4" w:space="0" w:color="000000"/>
            </w:tcBorders>
            <w:shd w:val="clear" w:color="000000" w:fill="0070C0"/>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Indbyggertal</w:t>
            </w:r>
          </w:p>
        </w:tc>
      </w:tr>
      <w:tr w:rsidR="00096A26" w:rsidRPr="002A4394" w:rsidTr="00F901DA">
        <w:trPr>
          <w:trHeight w:val="390"/>
        </w:trPr>
        <w:tc>
          <w:tcPr>
            <w:tcW w:w="1812" w:type="pct"/>
            <w:tcBorders>
              <w:top w:val="nil"/>
              <w:left w:val="single" w:sz="4" w:space="0" w:color="auto"/>
              <w:bottom w:val="nil"/>
              <w:right w:val="nil"/>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c>
          <w:tcPr>
            <w:tcW w:w="928" w:type="pct"/>
            <w:tcBorders>
              <w:top w:val="nil"/>
              <w:left w:val="nil"/>
              <w:bottom w:val="single" w:sz="4" w:space="0" w:color="auto"/>
              <w:right w:val="nil"/>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c>
          <w:tcPr>
            <w:tcW w:w="1299" w:type="pct"/>
            <w:tcBorders>
              <w:top w:val="nil"/>
              <w:left w:val="nil"/>
              <w:bottom w:val="single" w:sz="4" w:space="0" w:color="auto"/>
              <w:right w:val="nil"/>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c>
          <w:tcPr>
            <w:tcW w:w="961" w:type="pct"/>
            <w:tcBorders>
              <w:top w:val="nil"/>
              <w:left w:val="nil"/>
              <w:bottom w:val="nil"/>
              <w:right w:val="single" w:sz="4" w:space="0" w:color="auto"/>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r>
      <w:tr w:rsidR="00096A26" w:rsidRPr="002A4394" w:rsidTr="00F901DA">
        <w:trPr>
          <w:trHeight w:val="375"/>
        </w:trPr>
        <w:tc>
          <w:tcPr>
            <w:tcW w:w="1812" w:type="pct"/>
            <w:tcBorders>
              <w:top w:val="nil"/>
              <w:left w:val="single" w:sz="4" w:space="0" w:color="auto"/>
              <w:bottom w:val="nil"/>
              <w:right w:val="single" w:sz="4" w:space="0" w:color="auto"/>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2227" w:type="pct"/>
            <w:gridSpan w:val="2"/>
            <w:vMerge w:val="restart"/>
            <w:tcBorders>
              <w:top w:val="single" w:sz="4" w:space="0" w:color="auto"/>
              <w:left w:val="single" w:sz="4" w:space="0" w:color="auto"/>
              <w:bottom w:val="single" w:sz="4" w:space="0" w:color="auto"/>
              <w:right w:val="single" w:sz="4" w:space="0" w:color="auto"/>
            </w:tcBorders>
            <w:shd w:val="clear" w:color="000000" w:fill="00B0F0"/>
            <w:vAlign w:val="center"/>
            <w:hideMark/>
          </w:tcPr>
          <w:p w:rsidR="00096A26" w:rsidRPr="002A4394" w:rsidRDefault="000A35D2" w:rsidP="00096A26">
            <w:pPr>
              <w:jc w:val="center"/>
              <w:rPr>
                <w:rFonts w:ascii="Calibri" w:hAnsi="Calibri" w:cs="Calibri"/>
                <w:color w:val="000000"/>
                <w:sz w:val="18"/>
                <w:szCs w:val="18"/>
              </w:rPr>
            </w:pPr>
            <w:r w:rsidRPr="002A4394">
              <w:rPr>
                <w:rFonts w:ascii="Calibri" w:hAnsi="Calibri" w:cs="Calibri"/>
                <w:b/>
                <w:bCs/>
                <w:color w:val="000000"/>
                <w:sz w:val="18"/>
                <w:szCs w:val="18"/>
              </w:rPr>
              <w:t>215</w:t>
            </w:r>
            <w:r w:rsidR="00096A26" w:rsidRPr="002A4394">
              <w:rPr>
                <w:rFonts w:ascii="Calibri" w:hAnsi="Calibri" w:cs="Calibri"/>
                <w:b/>
                <w:bCs/>
                <w:color w:val="000000"/>
                <w:sz w:val="18"/>
                <w:szCs w:val="18"/>
              </w:rPr>
              <w:br/>
            </w:r>
            <w:r w:rsidR="00096A26" w:rsidRPr="002A4394">
              <w:rPr>
                <w:rFonts w:ascii="Calibri" w:hAnsi="Calibri" w:cs="Calibri"/>
                <w:color w:val="000000"/>
                <w:sz w:val="18"/>
                <w:szCs w:val="18"/>
              </w:rPr>
              <w:t>færre end forventet</w:t>
            </w:r>
          </w:p>
        </w:tc>
        <w:tc>
          <w:tcPr>
            <w:tcW w:w="961" w:type="pct"/>
            <w:tcBorders>
              <w:top w:val="nil"/>
              <w:left w:val="single" w:sz="4" w:space="0" w:color="auto"/>
              <w:bottom w:val="nil"/>
              <w:right w:val="single" w:sz="4" w:space="0" w:color="auto"/>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r>
      <w:tr w:rsidR="00096A26" w:rsidRPr="002A4394" w:rsidTr="00F901DA">
        <w:trPr>
          <w:trHeight w:val="390"/>
        </w:trPr>
        <w:tc>
          <w:tcPr>
            <w:tcW w:w="1812" w:type="pct"/>
            <w:tcBorders>
              <w:top w:val="nil"/>
              <w:left w:val="single" w:sz="4" w:space="0" w:color="auto"/>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2227" w:type="pct"/>
            <w:gridSpan w:val="2"/>
            <w:vMerge/>
            <w:tcBorders>
              <w:top w:val="nil"/>
              <w:left w:val="single" w:sz="4" w:space="0" w:color="auto"/>
              <w:bottom w:val="single" w:sz="4" w:space="0" w:color="auto"/>
              <w:right w:val="single" w:sz="4" w:space="0" w:color="auto"/>
            </w:tcBorders>
            <w:vAlign w:val="center"/>
            <w:hideMark/>
          </w:tcPr>
          <w:p w:rsidR="00096A26" w:rsidRPr="002A4394" w:rsidRDefault="00096A26" w:rsidP="00096A26">
            <w:pPr>
              <w:rPr>
                <w:rFonts w:ascii="Calibri" w:hAnsi="Calibri" w:cs="Calibri"/>
                <w:color w:val="000000"/>
                <w:sz w:val="18"/>
                <w:szCs w:val="18"/>
              </w:rPr>
            </w:pPr>
          </w:p>
        </w:tc>
        <w:tc>
          <w:tcPr>
            <w:tcW w:w="961" w:type="pct"/>
            <w:tcBorders>
              <w:top w:val="nil"/>
              <w:left w:val="single" w:sz="4" w:space="0" w:color="auto"/>
              <w:bottom w:val="nil"/>
              <w:right w:val="single" w:sz="4" w:space="0" w:color="auto"/>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r>
      <w:tr w:rsidR="00096A26" w:rsidRPr="002A4394" w:rsidTr="00F901DA">
        <w:trPr>
          <w:trHeight w:val="300"/>
        </w:trPr>
        <w:tc>
          <w:tcPr>
            <w:tcW w:w="1812" w:type="pct"/>
            <w:tcBorders>
              <w:top w:val="nil"/>
              <w:left w:val="single" w:sz="4" w:space="0" w:color="auto"/>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928" w:type="pct"/>
            <w:tcBorders>
              <w:top w:val="single" w:sz="4" w:space="0" w:color="auto"/>
              <w:left w:val="nil"/>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1299" w:type="pct"/>
            <w:tcBorders>
              <w:top w:val="single" w:sz="4" w:space="0" w:color="auto"/>
              <w:left w:val="nil"/>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961" w:type="pct"/>
            <w:tcBorders>
              <w:top w:val="nil"/>
              <w:left w:val="nil"/>
              <w:bottom w:val="nil"/>
              <w:right w:val="single" w:sz="4" w:space="0" w:color="auto"/>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r>
      <w:tr w:rsidR="00096A26" w:rsidRPr="002A4394" w:rsidTr="00532902">
        <w:trPr>
          <w:trHeight w:val="300"/>
        </w:trPr>
        <w:tc>
          <w:tcPr>
            <w:tcW w:w="1812" w:type="pct"/>
            <w:tcBorders>
              <w:top w:val="nil"/>
              <w:left w:val="single" w:sz="4" w:space="0" w:color="auto"/>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928" w:type="pct"/>
            <w:tcBorders>
              <w:top w:val="nil"/>
              <w:left w:val="nil"/>
              <w:bottom w:val="nil"/>
              <w:right w:val="nil"/>
            </w:tcBorders>
            <w:shd w:val="clear" w:color="000000" w:fill="F2F2F2"/>
            <w:noWrap/>
            <w:vAlign w:val="bottom"/>
            <w:hideMark/>
          </w:tcPr>
          <w:p w:rsidR="00096A26" w:rsidRPr="002A4394" w:rsidRDefault="00096A26" w:rsidP="00096A26">
            <w:pPr>
              <w:jc w:val="center"/>
              <w:rPr>
                <w:rFonts w:ascii="Calibri" w:hAnsi="Calibri" w:cs="Calibri"/>
                <w:color w:val="000000"/>
                <w:sz w:val="18"/>
                <w:szCs w:val="18"/>
              </w:rPr>
            </w:pPr>
            <w:r w:rsidRPr="002A4394">
              <w:rPr>
                <w:rFonts w:ascii="Calibri" w:hAnsi="Calibri" w:cs="Calibri"/>
                <w:color w:val="000000"/>
                <w:sz w:val="18"/>
                <w:szCs w:val="18"/>
              </w:rPr>
              <w:t>Faktisk</w:t>
            </w:r>
          </w:p>
        </w:tc>
        <w:tc>
          <w:tcPr>
            <w:tcW w:w="1299" w:type="pct"/>
            <w:tcBorders>
              <w:top w:val="nil"/>
              <w:left w:val="nil"/>
              <w:bottom w:val="nil"/>
              <w:right w:val="nil"/>
            </w:tcBorders>
            <w:shd w:val="clear" w:color="000000" w:fill="F2F2F2"/>
            <w:noWrap/>
            <w:vAlign w:val="bottom"/>
            <w:hideMark/>
          </w:tcPr>
          <w:p w:rsidR="00096A26" w:rsidRPr="002A4394" w:rsidRDefault="00096A26" w:rsidP="00096A26">
            <w:pPr>
              <w:jc w:val="center"/>
              <w:rPr>
                <w:rFonts w:ascii="Calibri" w:hAnsi="Calibri" w:cs="Calibri"/>
                <w:color w:val="000000"/>
                <w:sz w:val="18"/>
                <w:szCs w:val="18"/>
              </w:rPr>
            </w:pPr>
            <w:r w:rsidRPr="002A4394">
              <w:rPr>
                <w:rFonts w:ascii="Calibri" w:hAnsi="Calibri" w:cs="Calibri"/>
                <w:color w:val="000000"/>
                <w:sz w:val="18"/>
                <w:szCs w:val="18"/>
              </w:rPr>
              <w:t>Forventet</w:t>
            </w:r>
          </w:p>
        </w:tc>
        <w:tc>
          <w:tcPr>
            <w:tcW w:w="961" w:type="pct"/>
            <w:tcBorders>
              <w:top w:val="nil"/>
              <w:left w:val="nil"/>
              <w:bottom w:val="nil"/>
              <w:right w:val="single" w:sz="4" w:space="0" w:color="auto"/>
            </w:tcBorders>
            <w:shd w:val="clear" w:color="000000" w:fill="F2F2F2"/>
            <w:noWrap/>
            <w:vAlign w:val="bottom"/>
            <w:hideMark/>
          </w:tcPr>
          <w:p w:rsidR="00096A26" w:rsidRPr="002A4394" w:rsidRDefault="00096A26" w:rsidP="00096A26">
            <w:pPr>
              <w:jc w:val="center"/>
              <w:rPr>
                <w:rFonts w:ascii="Calibri" w:hAnsi="Calibri" w:cs="Calibri"/>
                <w:color w:val="000000"/>
                <w:sz w:val="18"/>
                <w:szCs w:val="18"/>
              </w:rPr>
            </w:pPr>
            <w:r w:rsidRPr="002A4394">
              <w:rPr>
                <w:rFonts w:ascii="Calibri" w:hAnsi="Calibri" w:cs="Calibri"/>
                <w:color w:val="000000"/>
                <w:sz w:val="18"/>
                <w:szCs w:val="18"/>
              </w:rPr>
              <w:t>Forskel</w:t>
            </w:r>
          </w:p>
        </w:tc>
      </w:tr>
      <w:tr w:rsidR="00096A26" w:rsidRPr="002A4394" w:rsidTr="00532902">
        <w:trPr>
          <w:trHeight w:val="300"/>
        </w:trPr>
        <w:tc>
          <w:tcPr>
            <w:tcW w:w="1812" w:type="pct"/>
            <w:tcBorders>
              <w:top w:val="nil"/>
              <w:left w:val="single" w:sz="4" w:space="0" w:color="auto"/>
              <w:bottom w:val="single" w:sz="4" w:space="0" w:color="auto"/>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Indbyggertal</w:t>
            </w:r>
          </w:p>
        </w:tc>
        <w:tc>
          <w:tcPr>
            <w:tcW w:w="928" w:type="pct"/>
            <w:tcBorders>
              <w:top w:val="nil"/>
              <w:left w:val="nil"/>
              <w:bottom w:val="single" w:sz="4" w:space="0" w:color="auto"/>
              <w:right w:val="nil"/>
            </w:tcBorders>
            <w:shd w:val="clear" w:color="000000" w:fill="F2F2F2"/>
            <w:noWrap/>
            <w:vAlign w:val="bottom"/>
            <w:hideMark/>
          </w:tcPr>
          <w:p w:rsidR="00096A26" w:rsidRPr="002A4394" w:rsidRDefault="000A35D2" w:rsidP="00096A26">
            <w:pPr>
              <w:jc w:val="center"/>
              <w:rPr>
                <w:rFonts w:ascii="Calibri" w:hAnsi="Calibri" w:cs="Calibri"/>
                <w:color w:val="000000"/>
                <w:sz w:val="18"/>
                <w:szCs w:val="18"/>
              </w:rPr>
            </w:pPr>
            <w:r w:rsidRPr="002A4394">
              <w:rPr>
                <w:rFonts w:ascii="Calibri" w:hAnsi="Calibri" w:cs="Calibri"/>
                <w:color w:val="000000"/>
                <w:sz w:val="18"/>
                <w:szCs w:val="18"/>
              </w:rPr>
              <w:t>35.094</w:t>
            </w:r>
          </w:p>
        </w:tc>
        <w:tc>
          <w:tcPr>
            <w:tcW w:w="1299" w:type="pct"/>
            <w:tcBorders>
              <w:top w:val="nil"/>
              <w:left w:val="nil"/>
              <w:bottom w:val="single" w:sz="4" w:space="0" w:color="auto"/>
              <w:right w:val="nil"/>
            </w:tcBorders>
            <w:shd w:val="clear" w:color="000000" w:fill="F2F2F2"/>
            <w:noWrap/>
            <w:vAlign w:val="bottom"/>
            <w:hideMark/>
          </w:tcPr>
          <w:p w:rsidR="00096A26" w:rsidRPr="002A4394" w:rsidRDefault="000A35D2" w:rsidP="00096A26">
            <w:pPr>
              <w:jc w:val="center"/>
              <w:rPr>
                <w:rFonts w:ascii="Calibri" w:hAnsi="Calibri" w:cs="Calibri"/>
                <w:color w:val="000000"/>
                <w:sz w:val="18"/>
                <w:szCs w:val="18"/>
              </w:rPr>
            </w:pPr>
            <w:r w:rsidRPr="002A4394">
              <w:rPr>
                <w:rFonts w:ascii="Calibri" w:hAnsi="Calibri" w:cs="Calibri"/>
                <w:color w:val="000000"/>
                <w:sz w:val="18"/>
                <w:szCs w:val="18"/>
              </w:rPr>
              <w:t>35.309</w:t>
            </w:r>
          </w:p>
        </w:tc>
        <w:tc>
          <w:tcPr>
            <w:tcW w:w="961" w:type="pct"/>
            <w:tcBorders>
              <w:top w:val="nil"/>
              <w:left w:val="nil"/>
              <w:bottom w:val="single" w:sz="4" w:space="0" w:color="auto"/>
              <w:right w:val="single" w:sz="4" w:space="0" w:color="auto"/>
            </w:tcBorders>
            <w:shd w:val="clear" w:color="000000" w:fill="F2F2F2"/>
            <w:noWrap/>
            <w:vAlign w:val="bottom"/>
            <w:hideMark/>
          </w:tcPr>
          <w:p w:rsidR="00096A26" w:rsidRPr="002A4394" w:rsidRDefault="000A35D2" w:rsidP="00096A26">
            <w:pPr>
              <w:jc w:val="center"/>
              <w:rPr>
                <w:rFonts w:ascii="Calibri" w:hAnsi="Calibri" w:cs="Calibri"/>
                <w:color w:val="000000"/>
                <w:sz w:val="18"/>
                <w:szCs w:val="18"/>
              </w:rPr>
            </w:pPr>
            <w:r w:rsidRPr="002A4394">
              <w:rPr>
                <w:rFonts w:ascii="Calibri" w:hAnsi="Calibri" w:cs="Calibri"/>
                <w:color w:val="000000"/>
                <w:sz w:val="18"/>
                <w:szCs w:val="18"/>
              </w:rPr>
              <w:t>-215</w:t>
            </w:r>
          </w:p>
        </w:tc>
      </w:tr>
      <w:tr w:rsidR="00096A26" w:rsidRPr="002A4394" w:rsidTr="00532902">
        <w:trPr>
          <w:trHeight w:val="300"/>
        </w:trPr>
        <w:tc>
          <w:tcPr>
            <w:tcW w:w="1812" w:type="pct"/>
            <w:tcBorders>
              <w:top w:val="nil"/>
              <w:left w:val="single" w:sz="4" w:space="0" w:color="auto"/>
              <w:bottom w:val="single" w:sz="4" w:space="0" w:color="auto"/>
              <w:right w:val="nil"/>
            </w:tcBorders>
            <w:shd w:val="clear" w:color="000000" w:fill="F2F2F2"/>
            <w:noWrap/>
            <w:vAlign w:val="bottom"/>
            <w:hideMark/>
          </w:tcPr>
          <w:p w:rsidR="00096A26" w:rsidRPr="002A4394" w:rsidRDefault="00096A26" w:rsidP="00096A26">
            <w:pPr>
              <w:rPr>
                <w:rFonts w:ascii="Calibri" w:hAnsi="Calibri" w:cs="Calibri"/>
                <w:b/>
                <w:bCs/>
                <w:color w:val="000000"/>
                <w:sz w:val="18"/>
                <w:szCs w:val="18"/>
              </w:rPr>
            </w:pPr>
            <w:r w:rsidRPr="002A4394">
              <w:rPr>
                <w:rFonts w:ascii="Calibri" w:hAnsi="Calibri" w:cs="Calibri"/>
                <w:b/>
                <w:bCs/>
                <w:color w:val="000000"/>
                <w:sz w:val="18"/>
                <w:szCs w:val="18"/>
              </w:rPr>
              <w:t>Flyttebalance</w:t>
            </w:r>
          </w:p>
        </w:tc>
        <w:tc>
          <w:tcPr>
            <w:tcW w:w="928" w:type="pct"/>
            <w:tcBorders>
              <w:top w:val="nil"/>
              <w:left w:val="nil"/>
              <w:bottom w:val="single" w:sz="4" w:space="0" w:color="auto"/>
              <w:right w:val="nil"/>
            </w:tcBorders>
            <w:shd w:val="clear" w:color="000000" w:fill="F2F2F2"/>
            <w:noWrap/>
            <w:vAlign w:val="bottom"/>
            <w:hideMark/>
          </w:tcPr>
          <w:p w:rsidR="00096A26" w:rsidRPr="002A4394" w:rsidRDefault="00096A26" w:rsidP="00096A26">
            <w:pPr>
              <w:jc w:val="center"/>
              <w:rPr>
                <w:rFonts w:ascii="Calibri" w:hAnsi="Calibri" w:cs="Calibri"/>
                <w:b/>
                <w:bCs/>
                <w:color w:val="000000"/>
                <w:sz w:val="18"/>
                <w:szCs w:val="18"/>
              </w:rPr>
            </w:pPr>
            <w:r w:rsidRPr="002A4394">
              <w:rPr>
                <w:rFonts w:ascii="Calibri" w:hAnsi="Calibri" w:cs="Calibri"/>
                <w:b/>
                <w:bCs/>
                <w:color w:val="000000"/>
                <w:sz w:val="18"/>
                <w:szCs w:val="18"/>
              </w:rPr>
              <w:t>-</w:t>
            </w:r>
          </w:p>
        </w:tc>
        <w:tc>
          <w:tcPr>
            <w:tcW w:w="1299" w:type="pct"/>
            <w:tcBorders>
              <w:top w:val="nil"/>
              <w:left w:val="nil"/>
              <w:bottom w:val="single" w:sz="4" w:space="0" w:color="auto"/>
              <w:right w:val="nil"/>
            </w:tcBorders>
            <w:shd w:val="clear" w:color="000000" w:fill="F2F2F2"/>
            <w:noWrap/>
            <w:vAlign w:val="bottom"/>
            <w:hideMark/>
          </w:tcPr>
          <w:p w:rsidR="00096A26" w:rsidRPr="002A4394" w:rsidRDefault="00096A26" w:rsidP="00096A26">
            <w:pPr>
              <w:jc w:val="center"/>
              <w:rPr>
                <w:rFonts w:ascii="Calibri" w:hAnsi="Calibri" w:cs="Calibri"/>
                <w:b/>
                <w:bCs/>
                <w:color w:val="000000"/>
                <w:sz w:val="18"/>
                <w:szCs w:val="18"/>
              </w:rPr>
            </w:pPr>
            <w:r w:rsidRPr="002A4394">
              <w:rPr>
                <w:rFonts w:ascii="Calibri" w:hAnsi="Calibri" w:cs="Calibri"/>
                <w:b/>
                <w:bCs/>
                <w:color w:val="000000"/>
                <w:sz w:val="18"/>
                <w:szCs w:val="18"/>
              </w:rPr>
              <w:t>-</w:t>
            </w:r>
          </w:p>
        </w:tc>
        <w:tc>
          <w:tcPr>
            <w:tcW w:w="961" w:type="pct"/>
            <w:tcBorders>
              <w:top w:val="nil"/>
              <w:left w:val="nil"/>
              <w:bottom w:val="single" w:sz="4" w:space="0" w:color="auto"/>
              <w:right w:val="single" w:sz="4" w:space="0" w:color="auto"/>
            </w:tcBorders>
            <w:shd w:val="clear" w:color="000000" w:fill="F2F2F2"/>
            <w:noWrap/>
            <w:vAlign w:val="bottom"/>
            <w:hideMark/>
          </w:tcPr>
          <w:p w:rsidR="00096A26" w:rsidRPr="002A4394" w:rsidRDefault="000A35D2" w:rsidP="00096A26">
            <w:pPr>
              <w:jc w:val="center"/>
              <w:rPr>
                <w:rFonts w:ascii="Calibri" w:hAnsi="Calibri" w:cs="Calibri"/>
                <w:b/>
                <w:bCs/>
                <w:color w:val="000000"/>
                <w:sz w:val="18"/>
                <w:szCs w:val="18"/>
              </w:rPr>
            </w:pPr>
            <w:r w:rsidRPr="002A4394">
              <w:rPr>
                <w:rFonts w:ascii="Calibri" w:hAnsi="Calibri" w:cs="Calibri"/>
                <w:b/>
                <w:bCs/>
                <w:color w:val="000000"/>
                <w:sz w:val="18"/>
                <w:szCs w:val="18"/>
              </w:rPr>
              <w:t>-215</w:t>
            </w:r>
          </w:p>
        </w:tc>
      </w:tr>
    </w:tbl>
    <w:p w:rsidR="006F188F" w:rsidRDefault="006F188F" w:rsidP="006D04C4"/>
    <w:p w:rsidR="00633860" w:rsidRDefault="006D04C4" w:rsidP="006D04C4">
      <w:r>
        <w:t>Forv</w:t>
      </w:r>
      <w:r w:rsidR="00633860">
        <w:t xml:space="preserve">entningen var, at </w:t>
      </w:r>
      <w:r w:rsidR="000A35D2">
        <w:t>der ultimo 2019 ville være 35.309</w:t>
      </w:r>
      <w:r>
        <w:t xml:space="preserve"> personer ifølge ko</w:t>
      </w:r>
      <w:r w:rsidR="000A35D2">
        <w:t>mmunens prognose, hvilket er 84 personer færre</w:t>
      </w:r>
      <w:r>
        <w:t xml:space="preserve">, end </w:t>
      </w:r>
      <w:r w:rsidR="00633860">
        <w:t>befo</w:t>
      </w:r>
      <w:r w:rsidR="000A35D2">
        <w:t>lkningstallet for 2018, altså et forventet fald på 0,2</w:t>
      </w:r>
      <w:r w:rsidR="00633860">
        <w:t xml:space="preserve"> pct.</w:t>
      </w:r>
      <w:r>
        <w:t xml:space="preserve"> </w:t>
      </w:r>
      <w:r w:rsidR="000A35D2">
        <w:t>I stedet endte 2019 med at vi i alt var 35.094</w:t>
      </w:r>
      <w:r w:rsidR="002113DF">
        <w:t xml:space="preserve"> indbyggere, hvilket er 215 indbyggere færre end forventet, hvilket svarer til et fald på 0,6 pct.</w:t>
      </w:r>
    </w:p>
    <w:p w:rsidR="00633860" w:rsidRDefault="00633860" w:rsidP="006D04C4"/>
    <w:p w:rsidR="00096A26" w:rsidRDefault="009A7C29" w:rsidP="006D04C4">
      <w:r>
        <w:t>Den</w:t>
      </w:r>
      <w:r w:rsidR="00351E25">
        <w:t xml:space="preserve"> </w:t>
      </w:r>
      <w:r w:rsidR="003F1E2B">
        <w:t>afgørende hovedforklaring</w:t>
      </w:r>
      <w:r w:rsidR="006D04C4">
        <w:t xml:space="preserve"> på, hvorfor resu</w:t>
      </w:r>
      <w:r w:rsidR="00351E25">
        <w:t>ltatet bl</w:t>
      </w:r>
      <w:r w:rsidR="003F1E2B">
        <w:t>ev et andet skal findes i den svagere</w:t>
      </w:r>
      <w:r w:rsidR="00351E25">
        <w:t xml:space="preserve"> udvikling i </w:t>
      </w:r>
      <w:r w:rsidR="006D04C4">
        <w:t>flyttebalancen</w:t>
      </w:r>
      <w:r w:rsidR="003F1E2B">
        <w:t>, hvor det igen skal nævnes at det hovedsagligt er genhusningen og nedlukningen af de tomme lejligheder</w:t>
      </w:r>
      <w:r w:rsidR="002113DF">
        <w:t xml:space="preserve"> i Brøndby Strand</w:t>
      </w:r>
      <w:r w:rsidR="003F1E2B">
        <w:t xml:space="preserve"> som </w:t>
      </w:r>
      <w:r w:rsidR="00C3548F">
        <w:t>har indvirkning på faldet.</w:t>
      </w:r>
    </w:p>
    <w:p w:rsidR="002113DF" w:rsidRDefault="002113DF" w:rsidP="006D04C4"/>
    <w:p w:rsidR="002113DF" w:rsidRDefault="002113DF" w:rsidP="002113DF">
      <w:pPr>
        <w:pStyle w:val="Billedtekst"/>
        <w:keepNext/>
      </w:pPr>
      <w:r w:rsidRPr="006806EF">
        <w:rPr>
          <w:b/>
        </w:rPr>
        <w:lastRenderedPageBreak/>
        <w:t xml:space="preserve">Figur </w:t>
      </w:r>
      <w:r>
        <w:rPr>
          <w:b/>
        </w:rPr>
        <w:t>E</w:t>
      </w:r>
      <w:r w:rsidRPr="006806EF">
        <w:rPr>
          <w:b/>
        </w:rPr>
        <w:t>.</w:t>
      </w:r>
      <w:r>
        <w:t xml:space="preserve"> Afvigelse mellem prognose og faktiske tal på flytninger ultimo 2019.</w:t>
      </w:r>
    </w:p>
    <w:tbl>
      <w:tblPr>
        <w:tblW w:w="5000" w:type="pct"/>
        <w:tblCellMar>
          <w:left w:w="70" w:type="dxa"/>
          <w:right w:w="70" w:type="dxa"/>
        </w:tblCellMar>
        <w:tblLook w:val="04A0" w:firstRow="1" w:lastRow="0" w:firstColumn="1" w:lastColumn="0" w:noHBand="0" w:noVBand="1"/>
      </w:tblPr>
      <w:tblGrid>
        <w:gridCol w:w="3489"/>
        <w:gridCol w:w="1787"/>
        <w:gridCol w:w="2502"/>
        <w:gridCol w:w="1851"/>
      </w:tblGrid>
      <w:tr w:rsidR="002113DF" w:rsidRPr="002A4394" w:rsidTr="00EB4A6D">
        <w:trPr>
          <w:trHeight w:val="375"/>
        </w:trPr>
        <w:tc>
          <w:tcPr>
            <w:tcW w:w="5000" w:type="pct"/>
            <w:gridSpan w:val="4"/>
            <w:tcBorders>
              <w:top w:val="single" w:sz="4" w:space="0" w:color="auto"/>
              <w:left w:val="single" w:sz="4" w:space="0" w:color="auto"/>
              <w:bottom w:val="nil"/>
              <w:right w:val="single" w:sz="4" w:space="0" w:color="auto"/>
            </w:tcBorders>
            <w:shd w:val="clear" w:color="000000" w:fill="0070C0"/>
            <w:noWrap/>
            <w:vAlign w:val="center"/>
            <w:hideMark/>
          </w:tcPr>
          <w:p w:rsidR="002113DF" w:rsidRPr="002A4394" w:rsidRDefault="002113DF" w:rsidP="00EB4A6D">
            <w:pPr>
              <w:rPr>
                <w:rFonts w:ascii="Calibri" w:hAnsi="Calibri" w:cs="Calibri"/>
                <w:b/>
                <w:bCs/>
                <w:color w:val="FFFFFF"/>
                <w:sz w:val="18"/>
                <w:szCs w:val="18"/>
              </w:rPr>
            </w:pPr>
            <w:r w:rsidRPr="002A4394">
              <w:rPr>
                <w:rFonts w:ascii="Calibri" w:hAnsi="Calibri" w:cs="Calibri"/>
                <w:b/>
                <w:bCs/>
                <w:color w:val="FFFFFF"/>
                <w:sz w:val="18"/>
                <w:szCs w:val="18"/>
              </w:rPr>
              <w:t>Flyttebalance</w:t>
            </w:r>
          </w:p>
        </w:tc>
      </w:tr>
      <w:tr w:rsidR="002113DF" w:rsidRPr="002A4394" w:rsidTr="00F901DA">
        <w:trPr>
          <w:trHeight w:val="390"/>
        </w:trPr>
        <w:tc>
          <w:tcPr>
            <w:tcW w:w="1812" w:type="pct"/>
            <w:tcBorders>
              <w:top w:val="nil"/>
              <w:left w:val="single" w:sz="4" w:space="0" w:color="auto"/>
              <w:bottom w:val="nil"/>
              <w:right w:val="nil"/>
            </w:tcBorders>
            <w:shd w:val="clear" w:color="000000" w:fill="F2F2F2"/>
            <w:noWrap/>
            <w:vAlign w:val="center"/>
            <w:hideMark/>
          </w:tcPr>
          <w:p w:rsidR="002113DF" w:rsidRPr="002A4394" w:rsidRDefault="002113DF" w:rsidP="00EB4A6D">
            <w:pPr>
              <w:rPr>
                <w:rFonts w:ascii="Calibri" w:hAnsi="Calibri" w:cs="Calibri"/>
                <w:b/>
                <w:bCs/>
                <w:color w:val="FFFFFF"/>
                <w:sz w:val="18"/>
                <w:szCs w:val="18"/>
              </w:rPr>
            </w:pPr>
            <w:r w:rsidRPr="002A4394">
              <w:rPr>
                <w:rFonts w:ascii="Calibri" w:hAnsi="Calibri" w:cs="Calibri"/>
                <w:b/>
                <w:bCs/>
                <w:color w:val="FFFFFF"/>
                <w:sz w:val="18"/>
                <w:szCs w:val="18"/>
              </w:rPr>
              <w:t> </w:t>
            </w:r>
          </w:p>
        </w:tc>
        <w:tc>
          <w:tcPr>
            <w:tcW w:w="928" w:type="pct"/>
            <w:tcBorders>
              <w:top w:val="nil"/>
              <w:left w:val="nil"/>
              <w:bottom w:val="single" w:sz="4" w:space="0" w:color="auto"/>
              <w:right w:val="nil"/>
            </w:tcBorders>
            <w:shd w:val="clear" w:color="000000" w:fill="F2F2F2"/>
            <w:noWrap/>
            <w:vAlign w:val="center"/>
            <w:hideMark/>
          </w:tcPr>
          <w:p w:rsidR="002113DF" w:rsidRPr="002A4394" w:rsidRDefault="002113DF" w:rsidP="00EB4A6D">
            <w:pPr>
              <w:rPr>
                <w:rFonts w:ascii="Calibri" w:hAnsi="Calibri" w:cs="Calibri"/>
                <w:b/>
                <w:bCs/>
                <w:color w:val="FFFFFF"/>
                <w:sz w:val="18"/>
                <w:szCs w:val="18"/>
              </w:rPr>
            </w:pPr>
            <w:r w:rsidRPr="002A4394">
              <w:rPr>
                <w:rFonts w:ascii="Calibri" w:hAnsi="Calibri" w:cs="Calibri"/>
                <w:b/>
                <w:bCs/>
                <w:color w:val="FFFFFF"/>
                <w:sz w:val="18"/>
                <w:szCs w:val="18"/>
              </w:rPr>
              <w:t> </w:t>
            </w:r>
          </w:p>
        </w:tc>
        <w:tc>
          <w:tcPr>
            <w:tcW w:w="1299" w:type="pct"/>
            <w:tcBorders>
              <w:top w:val="nil"/>
              <w:left w:val="nil"/>
              <w:bottom w:val="single" w:sz="4" w:space="0" w:color="auto"/>
              <w:right w:val="nil"/>
            </w:tcBorders>
            <w:shd w:val="clear" w:color="000000" w:fill="F2F2F2"/>
            <w:noWrap/>
            <w:vAlign w:val="center"/>
            <w:hideMark/>
          </w:tcPr>
          <w:p w:rsidR="002113DF" w:rsidRPr="002A4394" w:rsidRDefault="002113DF" w:rsidP="00EB4A6D">
            <w:pPr>
              <w:rPr>
                <w:rFonts w:ascii="Calibri" w:hAnsi="Calibri" w:cs="Calibri"/>
                <w:b/>
                <w:bCs/>
                <w:color w:val="FFFFFF"/>
                <w:sz w:val="18"/>
                <w:szCs w:val="18"/>
              </w:rPr>
            </w:pPr>
            <w:r w:rsidRPr="002A4394">
              <w:rPr>
                <w:rFonts w:ascii="Calibri" w:hAnsi="Calibri" w:cs="Calibri"/>
                <w:b/>
                <w:bCs/>
                <w:color w:val="FFFFFF"/>
                <w:sz w:val="18"/>
                <w:szCs w:val="18"/>
              </w:rPr>
              <w:t> </w:t>
            </w:r>
          </w:p>
        </w:tc>
        <w:tc>
          <w:tcPr>
            <w:tcW w:w="961" w:type="pct"/>
            <w:tcBorders>
              <w:top w:val="nil"/>
              <w:left w:val="nil"/>
              <w:bottom w:val="nil"/>
              <w:right w:val="single" w:sz="4" w:space="0" w:color="auto"/>
            </w:tcBorders>
            <w:shd w:val="clear" w:color="000000" w:fill="F2F2F2"/>
            <w:noWrap/>
            <w:vAlign w:val="center"/>
            <w:hideMark/>
          </w:tcPr>
          <w:p w:rsidR="002113DF" w:rsidRPr="002A4394" w:rsidRDefault="002113DF" w:rsidP="00EB4A6D">
            <w:pPr>
              <w:rPr>
                <w:rFonts w:ascii="Calibri" w:hAnsi="Calibri" w:cs="Calibri"/>
                <w:b/>
                <w:bCs/>
                <w:color w:val="FFFFFF"/>
                <w:sz w:val="18"/>
                <w:szCs w:val="18"/>
              </w:rPr>
            </w:pPr>
            <w:r w:rsidRPr="002A4394">
              <w:rPr>
                <w:rFonts w:ascii="Calibri" w:hAnsi="Calibri" w:cs="Calibri"/>
                <w:b/>
                <w:bCs/>
                <w:color w:val="FFFFFF"/>
                <w:sz w:val="18"/>
                <w:szCs w:val="18"/>
              </w:rPr>
              <w:t> </w:t>
            </w:r>
          </w:p>
        </w:tc>
      </w:tr>
      <w:tr w:rsidR="002113DF" w:rsidRPr="002A4394" w:rsidTr="00F901DA">
        <w:trPr>
          <w:trHeight w:val="375"/>
        </w:trPr>
        <w:tc>
          <w:tcPr>
            <w:tcW w:w="1812" w:type="pct"/>
            <w:tcBorders>
              <w:top w:val="nil"/>
              <w:left w:val="single" w:sz="4" w:space="0" w:color="auto"/>
              <w:bottom w:val="nil"/>
              <w:right w:val="single" w:sz="4" w:space="0" w:color="auto"/>
            </w:tcBorders>
            <w:shd w:val="clear" w:color="000000" w:fill="F2F2F2"/>
            <w:noWrap/>
            <w:vAlign w:val="bottom"/>
            <w:hideMark/>
          </w:tcPr>
          <w:p w:rsidR="002113DF" w:rsidRPr="002A4394" w:rsidRDefault="002113DF" w:rsidP="00EB4A6D">
            <w:pPr>
              <w:rPr>
                <w:rFonts w:ascii="Calibri" w:hAnsi="Calibri" w:cs="Calibri"/>
                <w:color w:val="000000"/>
                <w:sz w:val="18"/>
                <w:szCs w:val="18"/>
              </w:rPr>
            </w:pPr>
            <w:r w:rsidRPr="002A4394">
              <w:rPr>
                <w:rFonts w:ascii="Calibri" w:hAnsi="Calibri" w:cs="Calibri"/>
                <w:color w:val="000000"/>
                <w:sz w:val="18"/>
                <w:szCs w:val="18"/>
              </w:rPr>
              <w:t> </w:t>
            </w:r>
          </w:p>
        </w:tc>
        <w:tc>
          <w:tcPr>
            <w:tcW w:w="2227" w:type="pct"/>
            <w:gridSpan w:val="2"/>
            <w:vMerge w:val="restart"/>
            <w:tcBorders>
              <w:top w:val="single" w:sz="4" w:space="0" w:color="auto"/>
              <w:left w:val="single" w:sz="4" w:space="0" w:color="auto"/>
              <w:bottom w:val="single" w:sz="4" w:space="0" w:color="auto"/>
              <w:right w:val="single" w:sz="4" w:space="0" w:color="auto"/>
            </w:tcBorders>
            <w:shd w:val="clear" w:color="000000" w:fill="00B0F0"/>
            <w:vAlign w:val="center"/>
            <w:hideMark/>
          </w:tcPr>
          <w:p w:rsidR="002113DF" w:rsidRPr="002A4394" w:rsidRDefault="002113DF" w:rsidP="00EB4A6D">
            <w:pPr>
              <w:jc w:val="center"/>
              <w:rPr>
                <w:rFonts w:ascii="Calibri" w:hAnsi="Calibri" w:cs="Calibri"/>
                <w:color w:val="000000"/>
                <w:sz w:val="18"/>
                <w:szCs w:val="18"/>
              </w:rPr>
            </w:pPr>
            <w:r w:rsidRPr="002A4394">
              <w:rPr>
                <w:rFonts w:ascii="Calibri" w:hAnsi="Calibri" w:cs="Calibri"/>
                <w:b/>
                <w:bCs/>
                <w:color w:val="000000"/>
                <w:sz w:val="18"/>
                <w:szCs w:val="18"/>
              </w:rPr>
              <w:t>172</w:t>
            </w:r>
            <w:r w:rsidRPr="002A4394">
              <w:rPr>
                <w:rFonts w:ascii="Calibri" w:hAnsi="Calibri" w:cs="Calibri"/>
                <w:b/>
                <w:bCs/>
                <w:color w:val="000000"/>
                <w:sz w:val="18"/>
                <w:szCs w:val="18"/>
              </w:rPr>
              <w:br/>
            </w:r>
            <w:r w:rsidRPr="002A4394">
              <w:rPr>
                <w:rFonts w:ascii="Calibri" w:hAnsi="Calibri" w:cs="Calibri"/>
                <w:color w:val="000000"/>
                <w:sz w:val="18"/>
                <w:szCs w:val="18"/>
              </w:rPr>
              <w:t>færre end forventet</w:t>
            </w:r>
          </w:p>
        </w:tc>
        <w:tc>
          <w:tcPr>
            <w:tcW w:w="961" w:type="pct"/>
            <w:tcBorders>
              <w:top w:val="nil"/>
              <w:left w:val="single" w:sz="4" w:space="0" w:color="auto"/>
              <w:bottom w:val="nil"/>
              <w:right w:val="single" w:sz="4" w:space="0" w:color="auto"/>
            </w:tcBorders>
            <w:shd w:val="clear" w:color="000000" w:fill="F2F2F2"/>
            <w:noWrap/>
            <w:vAlign w:val="center"/>
            <w:hideMark/>
          </w:tcPr>
          <w:p w:rsidR="002113DF" w:rsidRPr="002A4394" w:rsidRDefault="002113DF" w:rsidP="00EB4A6D">
            <w:pPr>
              <w:rPr>
                <w:rFonts w:ascii="Calibri" w:hAnsi="Calibri" w:cs="Calibri"/>
                <w:b/>
                <w:bCs/>
                <w:color w:val="FFFFFF"/>
                <w:sz w:val="18"/>
                <w:szCs w:val="18"/>
              </w:rPr>
            </w:pPr>
            <w:r w:rsidRPr="002A4394">
              <w:rPr>
                <w:rFonts w:ascii="Calibri" w:hAnsi="Calibri" w:cs="Calibri"/>
                <w:b/>
                <w:bCs/>
                <w:color w:val="FFFFFF"/>
                <w:sz w:val="18"/>
                <w:szCs w:val="18"/>
              </w:rPr>
              <w:t> </w:t>
            </w:r>
          </w:p>
        </w:tc>
      </w:tr>
      <w:tr w:rsidR="002113DF" w:rsidRPr="002A4394" w:rsidTr="00F901DA">
        <w:trPr>
          <w:trHeight w:val="390"/>
        </w:trPr>
        <w:tc>
          <w:tcPr>
            <w:tcW w:w="1812" w:type="pct"/>
            <w:tcBorders>
              <w:top w:val="nil"/>
              <w:left w:val="single" w:sz="4" w:space="0" w:color="auto"/>
              <w:bottom w:val="nil"/>
              <w:right w:val="single" w:sz="4" w:space="0" w:color="auto"/>
            </w:tcBorders>
            <w:shd w:val="clear" w:color="000000" w:fill="F2F2F2"/>
            <w:noWrap/>
            <w:vAlign w:val="bottom"/>
            <w:hideMark/>
          </w:tcPr>
          <w:p w:rsidR="002113DF" w:rsidRPr="002A4394" w:rsidRDefault="002113DF" w:rsidP="00EB4A6D">
            <w:pPr>
              <w:rPr>
                <w:rFonts w:ascii="Calibri" w:hAnsi="Calibri" w:cs="Calibri"/>
                <w:color w:val="000000"/>
                <w:sz w:val="18"/>
                <w:szCs w:val="18"/>
              </w:rPr>
            </w:pPr>
            <w:r w:rsidRPr="002A4394">
              <w:rPr>
                <w:rFonts w:ascii="Calibri" w:hAnsi="Calibri" w:cs="Calibri"/>
                <w:color w:val="000000"/>
                <w:sz w:val="18"/>
                <w:szCs w:val="18"/>
              </w:rPr>
              <w:t> </w:t>
            </w:r>
          </w:p>
        </w:tc>
        <w:tc>
          <w:tcPr>
            <w:tcW w:w="2227" w:type="pct"/>
            <w:gridSpan w:val="2"/>
            <w:vMerge/>
            <w:tcBorders>
              <w:top w:val="single" w:sz="8" w:space="0" w:color="000000"/>
              <w:left w:val="single" w:sz="4" w:space="0" w:color="auto"/>
              <w:bottom w:val="single" w:sz="4" w:space="0" w:color="auto"/>
              <w:right w:val="single" w:sz="4" w:space="0" w:color="auto"/>
            </w:tcBorders>
            <w:vAlign w:val="center"/>
            <w:hideMark/>
          </w:tcPr>
          <w:p w:rsidR="002113DF" w:rsidRPr="002A4394" w:rsidRDefault="002113DF" w:rsidP="00EB4A6D">
            <w:pPr>
              <w:rPr>
                <w:rFonts w:ascii="Calibri" w:hAnsi="Calibri" w:cs="Calibri"/>
                <w:color w:val="000000"/>
                <w:sz w:val="18"/>
                <w:szCs w:val="18"/>
              </w:rPr>
            </w:pPr>
          </w:p>
        </w:tc>
        <w:tc>
          <w:tcPr>
            <w:tcW w:w="961" w:type="pct"/>
            <w:tcBorders>
              <w:top w:val="nil"/>
              <w:left w:val="single" w:sz="4" w:space="0" w:color="auto"/>
              <w:bottom w:val="nil"/>
              <w:right w:val="single" w:sz="4" w:space="0" w:color="auto"/>
            </w:tcBorders>
            <w:shd w:val="clear" w:color="000000" w:fill="F2F2F2"/>
            <w:noWrap/>
            <w:vAlign w:val="center"/>
            <w:hideMark/>
          </w:tcPr>
          <w:p w:rsidR="002113DF" w:rsidRPr="002A4394" w:rsidRDefault="002113DF" w:rsidP="00EB4A6D">
            <w:pPr>
              <w:rPr>
                <w:rFonts w:ascii="Calibri" w:hAnsi="Calibri" w:cs="Calibri"/>
                <w:b/>
                <w:bCs/>
                <w:color w:val="FFFFFF"/>
                <w:sz w:val="18"/>
                <w:szCs w:val="18"/>
              </w:rPr>
            </w:pPr>
            <w:r w:rsidRPr="002A4394">
              <w:rPr>
                <w:rFonts w:ascii="Calibri" w:hAnsi="Calibri" w:cs="Calibri"/>
                <w:b/>
                <w:bCs/>
                <w:color w:val="FFFFFF"/>
                <w:sz w:val="18"/>
                <w:szCs w:val="18"/>
              </w:rPr>
              <w:t> </w:t>
            </w:r>
          </w:p>
        </w:tc>
      </w:tr>
      <w:tr w:rsidR="002113DF" w:rsidRPr="002A4394" w:rsidTr="00F901DA">
        <w:trPr>
          <w:trHeight w:val="300"/>
        </w:trPr>
        <w:tc>
          <w:tcPr>
            <w:tcW w:w="1812" w:type="pct"/>
            <w:tcBorders>
              <w:top w:val="nil"/>
              <w:left w:val="single" w:sz="4" w:space="0" w:color="auto"/>
              <w:bottom w:val="nil"/>
              <w:right w:val="nil"/>
            </w:tcBorders>
            <w:shd w:val="clear" w:color="000000" w:fill="F2F2F2"/>
            <w:noWrap/>
            <w:vAlign w:val="bottom"/>
            <w:hideMark/>
          </w:tcPr>
          <w:p w:rsidR="002113DF" w:rsidRPr="002A4394" w:rsidRDefault="002113DF" w:rsidP="00EB4A6D">
            <w:pPr>
              <w:rPr>
                <w:rFonts w:ascii="Calibri" w:hAnsi="Calibri" w:cs="Calibri"/>
                <w:color w:val="000000"/>
                <w:sz w:val="18"/>
                <w:szCs w:val="18"/>
              </w:rPr>
            </w:pPr>
            <w:r w:rsidRPr="002A4394">
              <w:rPr>
                <w:rFonts w:ascii="Calibri" w:hAnsi="Calibri" w:cs="Calibri"/>
                <w:color w:val="000000"/>
                <w:sz w:val="18"/>
                <w:szCs w:val="18"/>
              </w:rPr>
              <w:t> </w:t>
            </w:r>
          </w:p>
        </w:tc>
        <w:tc>
          <w:tcPr>
            <w:tcW w:w="928" w:type="pct"/>
            <w:tcBorders>
              <w:top w:val="single" w:sz="4" w:space="0" w:color="auto"/>
              <w:left w:val="nil"/>
              <w:bottom w:val="nil"/>
              <w:right w:val="nil"/>
            </w:tcBorders>
            <w:shd w:val="clear" w:color="000000" w:fill="F2F2F2"/>
            <w:noWrap/>
            <w:vAlign w:val="bottom"/>
            <w:hideMark/>
          </w:tcPr>
          <w:p w:rsidR="002113DF" w:rsidRPr="002A4394" w:rsidRDefault="002113DF" w:rsidP="00EB4A6D">
            <w:pPr>
              <w:rPr>
                <w:rFonts w:ascii="Calibri" w:hAnsi="Calibri" w:cs="Calibri"/>
                <w:color w:val="000000"/>
                <w:sz w:val="18"/>
                <w:szCs w:val="18"/>
              </w:rPr>
            </w:pPr>
            <w:r w:rsidRPr="002A4394">
              <w:rPr>
                <w:rFonts w:ascii="Calibri" w:hAnsi="Calibri" w:cs="Calibri"/>
                <w:color w:val="000000"/>
                <w:sz w:val="18"/>
                <w:szCs w:val="18"/>
              </w:rPr>
              <w:t> </w:t>
            </w:r>
          </w:p>
        </w:tc>
        <w:tc>
          <w:tcPr>
            <w:tcW w:w="1299" w:type="pct"/>
            <w:tcBorders>
              <w:top w:val="single" w:sz="4" w:space="0" w:color="auto"/>
              <w:left w:val="nil"/>
              <w:bottom w:val="nil"/>
              <w:right w:val="nil"/>
            </w:tcBorders>
            <w:shd w:val="clear" w:color="000000" w:fill="F2F2F2"/>
            <w:noWrap/>
            <w:vAlign w:val="bottom"/>
            <w:hideMark/>
          </w:tcPr>
          <w:p w:rsidR="002113DF" w:rsidRPr="002A4394" w:rsidRDefault="002113DF" w:rsidP="00EB4A6D">
            <w:pPr>
              <w:rPr>
                <w:rFonts w:ascii="Calibri" w:hAnsi="Calibri" w:cs="Calibri"/>
                <w:color w:val="000000"/>
                <w:sz w:val="18"/>
                <w:szCs w:val="18"/>
              </w:rPr>
            </w:pPr>
            <w:r w:rsidRPr="002A4394">
              <w:rPr>
                <w:rFonts w:ascii="Calibri" w:hAnsi="Calibri" w:cs="Calibri"/>
                <w:color w:val="000000"/>
                <w:sz w:val="18"/>
                <w:szCs w:val="18"/>
              </w:rPr>
              <w:t> </w:t>
            </w:r>
          </w:p>
        </w:tc>
        <w:tc>
          <w:tcPr>
            <w:tcW w:w="961" w:type="pct"/>
            <w:tcBorders>
              <w:top w:val="nil"/>
              <w:left w:val="nil"/>
              <w:bottom w:val="nil"/>
              <w:right w:val="single" w:sz="4" w:space="0" w:color="auto"/>
            </w:tcBorders>
            <w:shd w:val="clear" w:color="000000" w:fill="F2F2F2"/>
            <w:noWrap/>
            <w:vAlign w:val="bottom"/>
            <w:hideMark/>
          </w:tcPr>
          <w:p w:rsidR="002113DF" w:rsidRPr="002A4394" w:rsidRDefault="002113DF" w:rsidP="00EB4A6D">
            <w:pPr>
              <w:rPr>
                <w:rFonts w:ascii="Calibri" w:hAnsi="Calibri" w:cs="Calibri"/>
                <w:color w:val="000000"/>
                <w:sz w:val="18"/>
                <w:szCs w:val="18"/>
              </w:rPr>
            </w:pPr>
            <w:r w:rsidRPr="002A4394">
              <w:rPr>
                <w:rFonts w:ascii="Calibri" w:hAnsi="Calibri" w:cs="Calibri"/>
                <w:color w:val="000000"/>
                <w:sz w:val="18"/>
                <w:szCs w:val="18"/>
              </w:rPr>
              <w:t> </w:t>
            </w:r>
          </w:p>
        </w:tc>
      </w:tr>
      <w:tr w:rsidR="002113DF" w:rsidRPr="002A4394" w:rsidTr="00EB4A6D">
        <w:trPr>
          <w:trHeight w:val="300"/>
        </w:trPr>
        <w:tc>
          <w:tcPr>
            <w:tcW w:w="1812" w:type="pct"/>
            <w:tcBorders>
              <w:top w:val="nil"/>
              <w:left w:val="single" w:sz="4" w:space="0" w:color="auto"/>
              <w:bottom w:val="nil"/>
              <w:right w:val="nil"/>
            </w:tcBorders>
            <w:shd w:val="clear" w:color="000000" w:fill="F2F2F2"/>
            <w:noWrap/>
            <w:vAlign w:val="bottom"/>
            <w:hideMark/>
          </w:tcPr>
          <w:p w:rsidR="002113DF" w:rsidRPr="002A4394" w:rsidRDefault="002113DF" w:rsidP="00EB4A6D">
            <w:pPr>
              <w:rPr>
                <w:rFonts w:ascii="Calibri" w:hAnsi="Calibri" w:cs="Calibri"/>
                <w:color w:val="000000"/>
                <w:sz w:val="18"/>
                <w:szCs w:val="18"/>
              </w:rPr>
            </w:pPr>
            <w:r w:rsidRPr="002A4394">
              <w:rPr>
                <w:rFonts w:ascii="Calibri" w:hAnsi="Calibri" w:cs="Calibri"/>
                <w:color w:val="000000"/>
                <w:sz w:val="18"/>
                <w:szCs w:val="18"/>
              </w:rPr>
              <w:t> </w:t>
            </w:r>
          </w:p>
        </w:tc>
        <w:tc>
          <w:tcPr>
            <w:tcW w:w="928" w:type="pct"/>
            <w:tcBorders>
              <w:top w:val="nil"/>
              <w:left w:val="nil"/>
              <w:bottom w:val="nil"/>
              <w:right w:val="nil"/>
            </w:tcBorders>
            <w:shd w:val="clear" w:color="000000" w:fill="F2F2F2"/>
            <w:noWrap/>
            <w:vAlign w:val="bottom"/>
            <w:hideMark/>
          </w:tcPr>
          <w:p w:rsidR="002113DF" w:rsidRPr="002A4394" w:rsidRDefault="002113DF" w:rsidP="00EB4A6D">
            <w:pPr>
              <w:jc w:val="center"/>
              <w:rPr>
                <w:rFonts w:ascii="Calibri" w:hAnsi="Calibri" w:cs="Calibri"/>
                <w:color w:val="000000"/>
                <w:sz w:val="18"/>
                <w:szCs w:val="18"/>
              </w:rPr>
            </w:pPr>
            <w:r w:rsidRPr="002A4394">
              <w:rPr>
                <w:rFonts w:ascii="Calibri" w:hAnsi="Calibri" w:cs="Calibri"/>
                <w:color w:val="000000"/>
                <w:sz w:val="18"/>
                <w:szCs w:val="18"/>
              </w:rPr>
              <w:t>Faktisk</w:t>
            </w:r>
          </w:p>
        </w:tc>
        <w:tc>
          <w:tcPr>
            <w:tcW w:w="1299" w:type="pct"/>
            <w:tcBorders>
              <w:top w:val="nil"/>
              <w:left w:val="nil"/>
              <w:bottom w:val="nil"/>
              <w:right w:val="nil"/>
            </w:tcBorders>
            <w:shd w:val="clear" w:color="000000" w:fill="F2F2F2"/>
            <w:noWrap/>
            <w:vAlign w:val="bottom"/>
            <w:hideMark/>
          </w:tcPr>
          <w:p w:rsidR="002113DF" w:rsidRPr="002A4394" w:rsidRDefault="002113DF" w:rsidP="00EB4A6D">
            <w:pPr>
              <w:jc w:val="center"/>
              <w:rPr>
                <w:rFonts w:ascii="Calibri" w:hAnsi="Calibri" w:cs="Calibri"/>
                <w:color w:val="000000"/>
                <w:sz w:val="18"/>
                <w:szCs w:val="18"/>
              </w:rPr>
            </w:pPr>
            <w:r w:rsidRPr="002A4394">
              <w:rPr>
                <w:rFonts w:ascii="Calibri" w:hAnsi="Calibri" w:cs="Calibri"/>
                <w:color w:val="000000"/>
                <w:sz w:val="18"/>
                <w:szCs w:val="18"/>
              </w:rPr>
              <w:t>Forventet</w:t>
            </w:r>
          </w:p>
        </w:tc>
        <w:tc>
          <w:tcPr>
            <w:tcW w:w="961" w:type="pct"/>
            <w:tcBorders>
              <w:top w:val="nil"/>
              <w:left w:val="nil"/>
              <w:bottom w:val="nil"/>
              <w:right w:val="single" w:sz="4" w:space="0" w:color="auto"/>
            </w:tcBorders>
            <w:shd w:val="clear" w:color="000000" w:fill="F2F2F2"/>
            <w:noWrap/>
            <w:vAlign w:val="bottom"/>
            <w:hideMark/>
          </w:tcPr>
          <w:p w:rsidR="002113DF" w:rsidRPr="002A4394" w:rsidRDefault="002113DF" w:rsidP="00EB4A6D">
            <w:pPr>
              <w:jc w:val="center"/>
              <w:rPr>
                <w:rFonts w:ascii="Calibri" w:hAnsi="Calibri" w:cs="Calibri"/>
                <w:color w:val="000000"/>
                <w:sz w:val="18"/>
                <w:szCs w:val="18"/>
              </w:rPr>
            </w:pPr>
            <w:r w:rsidRPr="002A4394">
              <w:rPr>
                <w:rFonts w:ascii="Calibri" w:hAnsi="Calibri" w:cs="Calibri"/>
                <w:color w:val="000000"/>
                <w:sz w:val="18"/>
                <w:szCs w:val="18"/>
              </w:rPr>
              <w:t>Forskel</w:t>
            </w:r>
          </w:p>
        </w:tc>
      </w:tr>
      <w:tr w:rsidR="002113DF" w:rsidRPr="002A4394" w:rsidTr="00EB4A6D">
        <w:trPr>
          <w:trHeight w:val="300"/>
        </w:trPr>
        <w:tc>
          <w:tcPr>
            <w:tcW w:w="1812" w:type="pct"/>
            <w:tcBorders>
              <w:top w:val="nil"/>
              <w:left w:val="single" w:sz="4" w:space="0" w:color="auto"/>
              <w:bottom w:val="nil"/>
              <w:right w:val="nil"/>
            </w:tcBorders>
            <w:shd w:val="clear" w:color="000000" w:fill="F2F2F2"/>
            <w:noWrap/>
            <w:vAlign w:val="bottom"/>
            <w:hideMark/>
          </w:tcPr>
          <w:p w:rsidR="002113DF" w:rsidRPr="002A4394" w:rsidRDefault="002113DF" w:rsidP="00EB4A6D">
            <w:pPr>
              <w:rPr>
                <w:rFonts w:ascii="Calibri" w:hAnsi="Calibri" w:cs="Calibri"/>
                <w:color w:val="000000"/>
                <w:sz w:val="18"/>
                <w:szCs w:val="18"/>
              </w:rPr>
            </w:pPr>
            <w:r w:rsidRPr="002A4394">
              <w:rPr>
                <w:rFonts w:ascii="Calibri" w:hAnsi="Calibri" w:cs="Calibri"/>
                <w:color w:val="000000"/>
                <w:sz w:val="18"/>
                <w:szCs w:val="18"/>
              </w:rPr>
              <w:t>Tilflyttede</w:t>
            </w:r>
          </w:p>
        </w:tc>
        <w:tc>
          <w:tcPr>
            <w:tcW w:w="928" w:type="pct"/>
            <w:tcBorders>
              <w:top w:val="nil"/>
              <w:left w:val="nil"/>
              <w:bottom w:val="nil"/>
              <w:right w:val="nil"/>
            </w:tcBorders>
            <w:shd w:val="clear" w:color="000000" w:fill="F2F2F2"/>
            <w:noWrap/>
            <w:vAlign w:val="bottom"/>
            <w:hideMark/>
          </w:tcPr>
          <w:p w:rsidR="002113DF" w:rsidRPr="002A4394" w:rsidRDefault="002113DF" w:rsidP="00EB4A6D">
            <w:pPr>
              <w:jc w:val="right"/>
              <w:rPr>
                <w:rFonts w:ascii="Calibri" w:hAnsi="Calibri" w:cs="Calibri"/>
                <w:color w:val="000000"/>
                <w:sz w:val="18"/>
                <w:szCs w:val="18"/>
              </w:rPr>
            </w:pPr>
            <w:r w:rsidRPr="002A4394">
              <w:rPr>
                <w:rFonts w:ascii="Calibri" w:hAnsi="Calibri" w:cs="Calibri"/>
                <w:color w:val="000000"/>
                <w:sz w:val="18"/>
                <w:szCs w:val="18"/>
              </w:rPr>
              <w:t>2.738</w:t>
            </w:r>
          </w:p>
        </w:tc>
        <w:tc>
          <w:tcPr>
            <w:tcW w:w="1299" w:type="pct"/>
            <w:tcBorders>
              <w:top w:val="nil"/>
              <w:left w:val="nil"/>
              <w:bottom w:val="nil"/>
              <w:right w:val="nil"/>
            </w:tcBorders>
            <w:shd w:val="clear" w:color="000000" w:fill="F2F2F2"/>
            <w:noWrap/>
            <w:vAlign w:val="bottom"/>
            <w:hideMark/>
          </w:tcPr>
          <w:p w:rsidR="002113DF" w:rsidRPr="002A4394" w:rsidRDefault="002113DF" w:rsidP="00EB4A6D">
            <w:pPr>
              <w:jc w:val="right"/>
              <w:rPr>
                <w:rFonts w:ascii="Calibri" w:hAnsi="Calibri" w:cs="Calibri"/>
                <w:color w:val="000000"/>
                <w:sz w:val="18"/>
                <w:szCs w:val="18"/>
              </w:rPr>
            </w:pPr>
            <w:r w:rsidRPr="002A4394">
              <w:rPr>
                <w:rFonts w:ascii="Calibri" w:hAnsi="Calibri" w:cs="Calibri"/>
                <w:color w:val="000000"/>
                <w:sz w:val="18"/>
                <w:szCs w:val="18"/>
              </w:rPr>
              <w:t>2.559</w:t>
            </w:r>
          </w:p>
        </w:tc>
        <w:tc>
          <w:tcPr>
            <w:tcW w:w="961" w:type="pct"/>
            <w:tcBorders>
              <w:top w:val="nil"/>
              <w:left w:val="nil"/>
              <w:bottom w:val="nil"/>
              <w:right w:val="single" w:sz="4" w:space="0" w:color="auto"/>
            </w:tcBorders>
            <w:shd w:val="clear" w:color="000000" w:fill="F2F2F2"/>
            <w:noWrap/>
            <w:vAlign w:val="bottom"/>
            <w:hideMark/>
          </w:tcPr>
          <w:p w:rsidR="002113DF" w:rsidRPr="002A4394" w:rsidRDefault="002113DF" w:rsidP="00EB4A6D">
            <w:pPr>
              <w:jc w:val="right"/>
              <w:rPr>
                <w:rFonts w:ascii="Calibri" w:hAnsi="Calibri" w:cs="Calibri"/>
                <w:color w:val="000000"/>
                <w:sz w:val="18"/>
                <w:szCs w:val="18"/>
              </w:rPr>
            </w:pPr>
            <w:r w:rsidRPr="002A4394">
              <w:rPr>
                <w:rFonts w:ascii="Calibri" w:hAnsi="Calibri" w:cs="Calibri"/>
                <w:color w:val="000000"/>
                <w:sz w:val="18"/>
                <w:szCs w:val="18"/>
              </w:rPr>
              <w:t>179</w:t>
            </w:r>
          </w:p>
        </w:tc>
      </w:tr>
      <w:tr w:rsidR="002113DF" w:rsidRPr="002A4394" w:rsidTr="00EB4A6D">
        <w:trPr>
          <w:trHeight w:val="300"/>
        </w:trPr>
        <w:tc>
          <w:tcPr>
            <w:tcW w:w="1812" w:type="pct"/>
            <w:tcBorders>
              <w:top w:val="nil"/>
              <w:left w:val="single" w:sz="4" w:space="0" w:color="auto"/>
              <w:bottom w:val="single" w:sz="4" w:space="0" w:color="auto"/>
              <w:right w:val="nil"/>
            </w:tcBorders>
            <w:shd w:val="clear" w:color="000000" w:fill="F2F2F2"/>
            <w:noWrap/>
            <w:vAlign w:val="bottom"/>
            <w:hideMark/>
          </w:tcPr>
          <w:p w:rsidR="002113DF" w:rsidRPr="002A4394" w:rsidRDefault="002113DF" w:rsidP="00EB4A6D">
            <w:pPr>
              <w:rPr>
                <w:rFonts w:ascii="Calibri" w:hAnsi="Calibri" w:cs="Calibri"/>
                <w:color w:val="000000"/>
                <w:sz w:val="18"/>
                <w:szCs w:val="18"/>
              </w:rPr>
            </w:pPr>
            <w:r w:rsidRPr="002A4394">
              <w:rPr>
                <w:rFonts w:ascii="Calibri" w:hAnsi="Calibri" w:cs="Calibri"/>
                <w:color w:val="000000"/>
                <w:sz w:val="18"/>
                <w:szCs w:val="18"/>
              </w:rPr>
              <w:t>Fraflyttede</w:t>
            </w:r>
          </w:p>
        </w:tc>
        <w:tc>
          <w:tcPr>
            <w:tcW w:w="928" w:type="pct"/>
            <w:tcBorders>
              <w:top w:val="nil"/>
              <w:left w:val="nil"/>
              <w:bottom w:val="single" w:sz="4" w:space="0" w:color="auto"/>
              <w:right w:val="nil"/>
            </w:tcBorders>
            <w:shd w:val="clear" w:color="000000" w:fill="F2F2F2"/>
            <w:noWrap/>
            <w:vAlign w:val="bottom"/>
            <w:hideMark/>
          </w:tcPr>
          <w:p w:rsidR="002113DF" w:rsidRPr="002A4394" w:rsidRDefault="002113DF" w:rsidP="00EB4A6D">
            <w:pPr>
              <w:jc w:val="right"/>
              <w:rPr>
                <w:rFonts w:ascii="Calibri" w:hAnsi="Calibri" w:cs="Calibri"/>
                <w:color w:val="000000"/>
                <w:sz w:val="18"/>
                <w:szCs w:val="18"/>
              </w:rPr>
            </w:pPr>
            <w:r w:rsidRPr="002A4394">
              <w:rPr>
                <w:rFonts w:ascii="Calibri" w:hAnsi="Calibri" w:cs="Calibri"/>
                <w:color w:val="000000"/>
                <w:sz w:val="18"/>
                <w:szCs w:val="18"/>
              </w:rPr>
              <w:t>3.035</w:t>
            </w:r>
          </w:p>
        </w:tc>
        <w:tc>
          <w:tcPr>
            <w:tcW w:w="1299" w:type="pct"/>
            <w:tcBorders>
              <w:top w:val="nil"/>
              <w:left w:val="nil"/>
              <w:bottom w:val="single" w:sz="4" w:space="0" w:color="auto"/>
              <w:right w:val="nil"/>
            </w:tcBorders>
            <w:shd w:val="clear" w:color="000000" w:fill="F2F2F2"/>
            <w:noWrap/>
            <w:vAlign w:val="bottom"/>
            <w:hideMark/>
          </w:tcPr>
          <w:p w:rsidR="002113DF" w:rsidRPr="002A4394" w:rsidRDefault="002113DF" w:rsidP="00EB4A6D">
            <w:pPr>
              <w:jc w:val="right"/>
              <w:rPr>
                <w:rFonts w:ascii="Calibri" w:hAnsi="Calibri" w:cs="Calibri"/>
                <w:color w:val="000000"/>
                <w:sz w:val="18"/>
                <w:szCs w:val="18"/>
              </w:rPr>
            </w:pPr>
            <w:r w:rsidRPr="002A4394">
              <w:rPr>
                <w:rFonts w:ascii="Calibri" w:hAnsi="Calibri" w:cs="Calibri"/>
                <w:color w:val="000000"/>
                <w:sz w:val="18"/>
                <w:szCs w:val="18"/>
              </w:rPr>
              <w:t>2.684</w:t>
            </w:r>
          </w:p>
        </w:tc>
        <w:tc>
          <w:tcPr>
            <w:tcW w:w="961" w:type="pct"/>
            <w:tcBorders>
              <w:top w:val="nil"/>
              <w:left w:val="nil"/>
              <w:bottom w:val="single" w:sz="4" w:space="0" w:color="auto"/>
              <w:right w:val="single" w:sz="4" w:space="0" w:color="auto"/>
            </w:tcBorders>
            <w:shd w:val="clear" w:color="000000" w:fill="F2F2F2"/>
            <w:noWrap/>
            <w:vAlign w:val="bottom"/>
            <w:hideMark/>
          </w:tcPr>
          <w:p w:rsidR="002113DF" w:rsidRPr="002A4394" w:rsidRDefault="002113DF" w:rsidP="00EB4A6D">
            <w:pPr>
              <w:jc w:val="right"/>
              <w:rPr>
                <w:rFonts w:ascii="Calibri" w:hAnsi="Calibri" w:cs="Calibri"/>
                <w:color w:val="000000"/>
                <w:sz w:val="18"/>
                <w:szCs w:val="18"/>
              </w:rPr>
            </w:pPr>
            <w:r w:rsidRPr="002A4394">
              <w:rPr>
                <w:rFonts w:ascii="Calibri" w:hAnsi="Calibri" w:cs="Calibri"/>
                <w:color w:val="000000"/>
                <w:sz w:val="18"/>
                <w:szCs w:val="18"/>
              </w:rPr>
              <w:t>351</w:t>
            </w:r>
          </w:p>
        </w:tc>
      </w:tr>
      <w:tr w:rsidR="002113DF" w:rsidRPr="002A4394" w:rsidTr="00EB4A6D">
        <w:trPr>
          <w:trHeight w:val="300"/>
        </w:trPr>
        <w:tc>
          <w:tcPr>
            <w:tcW w:w="1812" w:type="pct"/>
            <w:tcBorders>
              <w:top w:val="nil"/>
              <w:left w:val="single" w:sz="4" w:space="0" w:color="auto"/>
              <w:bottom w:val="single" w:sz="4" w:space="0" w:color="auto"/>
              <w:right w:val="nil"/>
            </w:tcBorders>
            <w:shd w:val="clear" w:color="000000" w:fill="F2F2F2"/>
            <w:noWrap/>
            <w:vAlign w:val="bottom"/>
            <w:hideMark/>
          </w:tcPr>
          <w:p w:rsidR="002113DF" w:rsidRPr="002A4394" w:rsidRDefault="002113DF" w:rsidP="00EB4A6D">
            <w:pPr>
              <w:rPr>
                <w:rFonts w:ascii="Calibri" w:hAnsi="Calibri" w:cs="Calibri"/>
                <w:b/>
                <w:bCs/>
                <w:color w:val="000000"/>
                <w:sz w:val="18"/>
                <w:szCs w:val="18"/>
              </w:rPr>
            </w:pPr>
            <w:r w:rsidRPr="002A4394">
              <w:rPr>
                <w:rFonts w:ascii="Calibri" w:hAnsi="Calibri" w:cs="Calibri"/>
                <w:b/>
                <w:bCs/>
                <w:color w:val="000000"/>
                <w:sz w:val="18"/>
                <w:szCs w:val="18"/>
              </w:rPr>
              <w:t>Flyttebalance</w:t>
            </w:r>
          </w:p>
        </w:tc>
        <w:tc>
          <w:tcPr>
            <w:tcW w:w="928" w:type="pct"/>
            <w:tcBorders>
              <w:top w:val="nil"/>
              <w:left w:val="nil"/>
              <w:bottom w:val="single" w:sz="4" w:space="0" w:color="auto"/>
              <w:right w:val="nil"/>
            </w:tcBorders>
            <w:shd w:val="clear" w:color="000000" w:fill="F2F2F2"/>
            <w:noWrap/>
            <w:vAlign w:val="bottom"/>
            <w:hideMark/>
          </w:tcPr>
          <w:p w:rsidR="002113DF" w:rsidRPr="002A4394" w:rsidRDefault="002113DF" w:rsidP="00EB4A6D">
            <w:pPr>
              <w:jc w:val="right"/>
              <w:rPr>
                <w:rFonts w:ascii="Calibri" w:hAnsi="Calibri" w:cs="Calibri"/>
                <w:b/>
                <w:bCs/>
                <w:color w:val="000000"/>
                <w:sz w:val="18"/>
                <w:szCs w:val="18"/>
              </w:rPr>
            </w:pPr>
            <w:r w:rsidRPr="002A4394">
              <w:rPr>
                <w:rFonts w:ascii="Calibri" w:hAnsi="Calibri" w:cs="Calibri"/>
                <w:b/>
                <w:bCs/>
                <w:color w:val="000000"/>
                <w:sz w:val="18"/>
                <w:szCs w:val="18"/>
              </w:rPr>
              <w:t>-297</w:t>
            </w:r>
          </w:p>
        </w:tc>
        <w:tc>
          <w:tcPr>
            <w:tcW w:w="1299" w:type="pct"/>
            <w:tcBorders>
              <w:top w:val="nil"/>
              <w:left w:val="nil"/>
              <w:bottom w:val="single" w:sz="4" w:space="0" w:color="auto"/>
              <w:right w:val="nil"/>
            </w:tcBorders>
            <w:shd w:val="clear" w:color="000000" w:fill="F2F2F2"/>
            <w:noWrap/>
            <w:vAlign w:val="bottom"/>
            <w:hideMark/>
          </w:tcPr>
          <w:p w:rsidR="002113DF" w:rsidRPr="002A4394" w:rsidRDefault="002113DF" w:rsidP="00EB4A6D">
            <w:pPr>
              <w:jc w:val="right"/>
              <w:rPr>
                <w:rFonts w:ascii="Calibri" w:hAnsi="Calibri" w:cs="Calibri"/>
                <w:b/>
                <w:bCs/>
                <w:color w:val="000000"/>
                <w:sz w:val="18"/>
                <w:szCs w:val="18"/>
              </w:rPr>
            </w:pPr>
            <w:r w:rsidRPr="002A4394">
              <w:rPr>
                <w:rFonts w:ascii="Calibri" w:hAnsi="Calibri" w:cs="Calibri"/>
                <w:b/>
                <w:bCs/>
                <w:color w:val="000000"/>
                <w:sz w:val="18"/>
                <w:szCs w:val="18"/>
              </w:rPr>
              <w:t>125</w:t>
            </w:r>
          </w:p>
        </w:tc>
        <w:tc>
          <w:tcPr>
            <w:tcW w:w="961" w:type="pct"/>
            <w:tcBorders>
              <w:top w:val="nil"/>
              <w:left w:val="nil"/>
              <w:bottom w:val="single" w:sz="4" w:space="0" w:color="auto"/>
              <w:right w:val="single" w:sz="4" w:space="0" w:color="auto"/>
            </w:tcBorders>
            <w:shd w:val="clear" w:color="000000" w:fill="F2F2F2"/>
            <w:noWrap/>
            <w:vAlign w:val="bottom"/>
            <w:hideMark/>
          </w:tcPr>
          <w:p w:rsidR="002113DF" w:rsidRPr="002A4394" w:rsidRDefault="002113DF" w:rsidP="00EB4A6D">
            <w:pPr>
              <w:jc w:val="right"/>
              <w:rPr>
                <w:rFonts w:ascii="Calibri" w:hAnsi="Calibri" w:cs="Calibri"/>
                <w:b/>
                <w:bCs/>
                <w:color w:val="000000"/>
                <w:sz w:val="18"/>
                <w:szCs w:val="18"/>
              </w:rPr>
            </w:pPr>
            <w:r w:rsidRPr="002A4394">
              <w:rPr>
                <w:rFonts w:ascii="Calibri" w:hAnsi="Calibri" w:cs="Calibri"/>
                <w:b/>
                <w:bCs/>
                <w:color w:val="000000"/>
                <w:sz w:val="18"/>
                <w:szCs w:val="18"/>
              </w:rPr>
              <w:t>-172</w:t>
            </w:r>
          </w:p>
        </w:tc>
      </w:tr>
    </w:tbl>
    <w:p w:rsidR="00287854" w:rsidRDefault="00287854" w:rsidP="006D04C4"/>
    <w:p w:rsidR="000072DB" w:rsidRDefault="000072DB" w:rsidP="006D04C4">
      <w:r>
        <w:t>Flyttebalancen skulle efter prognosen vise 125 færre personer til Brøndby Kommune I stedet kom der 297 færre personer, hvilket samlet set er</w:t>
      </w:r>
      <w:r w:rsidR="009A7C29">
        <w:t xml:space="preserve"> en forværring på</w:t>
      </w:r>
      <w:r>
        <w:t xml:space="preserve"> </w:t>
      </w:r>
      <w:r w:rsidR="009A7C29">
        <w:t>172 færre personer</w:t>
      </w:r>
      <w:r>
        <w:t xml:space="preserve">. </w:t>
      </w:r>
      <w:r w:rsidR="009A7C29">
        <w:t xml:space="preserve">Det er dog positivt at kommunen har fået flere tilflyttere end forventet. </w:t>
      </w:r>
    </w:p>
    <w:p w:rsidR="000072DB" w:rsidRDefault="000072DB" w:rsidP="006D04C4"/>
    <w:p w:rsidR="006D04C4" w:rsidRDefault="006D04C4" w:rsidP="006D04C4">
      <w:pPr>
        <w:pStyle w:val="Billedtekst"/>
        <w:keepNext/>
      </w:pPr>
      <w:r w:rsidRPr="006806EF">
        <w:rPr>
          <w:b/>
        </w:rPr>
        <w:t xml:space="preserve">Figur </w:t>
      </w:r>
      <w:r w:rsidR="002113DF">
        <w:rPr>
          <w:b/>
        </w:rPr>
        <w:t>F</w:t>
      </w:r>
      <w:r>
        <w:t>. Afvigelse mellem prognose og faktiske t</w:t>
      </w:r>
      <w:r w:rsidR="002113DF">
        <w:t>al på fødsler ultimo 2019</w:t>
      </w:r>
      <w:r>
        <w:t>.</w:t>
      </w:r>
    </w:p>
    <w:tbl>
      <w:tblPr>
        <w:tblW w:w="5000" w:type="pct"/>
        <w:tblCellMar>
          <w:left w:w="70" w:type="dxa"/>
          <w:right w:w="70" w:type="dxa"/>
        </w:tblCellMar>
        <w:tblLook w:val="04A0" w:firstRow="1" w:lastRow="0" w:firstColumn="1" w:lastColumn="0" w:noHBand="0" w:noVBand="1"/>
      </w:tblPr>
      <w:tblGrid>
        <w:gridCol w:w="3753"/>
        <w:gridCol w:w="1710"/>
        <w:gridCol w:w="2396"/>
        <w:gridCol w:w="1770"/>
      </w:tblGrid>
      <w:tr w:rsidR="00096A26" w:rsidRPr="002A4394" w:rsidTr="00532902">
        <w:trPr>
          <w:trHeight w:val="480"/>
        </w:trPr>
        <w:tc>
          <w:tcPr>
            <w:tcW w:w="5000" w:type="pct"/>
            <w:gridSpan w:val="4"/>
            <w:tcBorders>
              <w:top w:val="single" w:sz="4" w:space="0" w:color="auto"/>
              <w:left w:val="single" w:sz="4" w:space="0" w:color="auto"/>
              <w:bottom w:val="nil"/>
              <w:right w:val="single" w:sz="4" w:space="0" w:color="auto"/>
            </w:tcBorders>
            <w:shd w:val="clear" w:color="000000" w:fill="0070C0"/>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Fødselsbalance</w:t>
            </w:r>
          </w:p>
        </w:tc>
      </w:tr>
      <w:tr w:rsidR="00096A26" w:rsidRPr="002A4394" w:rsidTr="00F901DA">
        <w:trPr>
          <w:trHeight w:val="480"/>
        </w:trPr>
        <w:tc>
          <w:tcPr>
            <w:tcW w:w="1949" w:type="pct"/>
            <w:tcBorders>
              <w:top w:val="nil"/>
              <w:left w:val="single" w:sz="4" w:space="0" w:color="auto"/>
              <w:bottom w:val="nil"/>
              <w:right w:val="nil"/>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c>
          <w:tcPr>
            <w:tcW w:w="888" w:type="pct"/>
            <w:tcBorders>
              <w:top w:val="nil"/>
              <w:left w:val="nil"/>
              <w:bottom w:val="single" w:sz="4" w:space="0" w:color="auto"/>
              <w:right w:val="nil"/>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c>
          <w:tcPr>
            <w:tcW w:w="1244" w:type="pct"/>
            <w:tcBorders>
              <w:top w:val="nil"/>
              <w:left w:val="nil"/>
              <w:bottom w:val="single" w:sz="4" w:space="0" w:color="auto"/>
              <w:right w:val="nil"/>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c>
          <w:tcPr>
            <w:tcW w:w="919" w:type="pct"/>
            <w:tcBorders>
              <w:top w:val="nil"/>
              <w:left w:val="nil"/>
              <w:bottom w:val="nil"/>
              <w:right w:val="single" w:sz="4" w:space="0" w:color="auto"/>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r>
      <w:tr w:rsidR="00096A26" w:rsidRPr="002A4394" w:rsidTr="00F901DA">
        <w:trPr>
          <w:trHeight w:val="405"/>
        </w:trPr>
        <w:tc>
          <w:tcPr>
            <w:tcW w:w="1949" w:type="pct"/>
            <w:tcBorders>
              <w:top w:val="nil"/>
              <w:left w:val="single" w:sz="4" w:space="0" w:color="auto"/>
              <w:bottom w:val="nil"/>
              <w:right w:val="single" w:sz="4" w:space="0" w:color="auto"/>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2132" w:type="pct"/>
            <w:gridSpan w:val="2"/>
            <w:vMerge w:val="restart"/>
            <w:tcBorders>
              <w:top w:val="single" w:sz="4" w:space="0" w:color="auto"/>
              <w:left w:val="single" w:sz="4" w:space="0" w:color="auto"/>
              <w:bottom w:val="single" w:sz="4" w:space="0" w:color="auto"/>
              <w:right w:val="single" w:sz="4" w:space="0" w:color="auto"/>
            </w:tcBorders>
            <w:shd w:val="clear" w:color="000000" w:fill="00B0F0"/>
            <w:vAlign w:val="center"/>
            <w:hideMark/>
          </w:tcPr>
          <w:p w:rsidR="00096A26" w:rsidRPr="002A4394" w:rsidRDefault="000A35D2" w:rsidP="00096A26">
            <w:pPr>
              <w:jc w:val="center"/>
              <w:rPr>
                <w:rFonts w:ascii="Calibri" w:hAnsi="Calibri" w:cs="Calibri"/>
                <w:color w:val="000000"/>
                <w:sz w:val="18"/>
                <w:szCs w:val="18"/>
              </w:rPr>
            </w:pPr>
            <w:r w:rsidRPr="002A4394">
              <w:rPr>
                <w:rFonts w:ascii="Calibri" w:hAnsi="Calibri" w:cs="Calibri"/>
                <w:b/>
                <w:bCs/>
                <w:color w:val="000000"/>
                <w:sz w:val="18"/>
                <w:szCs w:val="18"/>
              </w:rPr>
              <w:t>37</w:t>
            </w:r>
            <w:r w:rsidR="00096A26" w:rsidRPr="002A4394">
              <w:rPr>
                <w:rFonts w:ascii="Calibri" w:hAnsi="Calibri" w:cs="Calibri"/>
                <w:b/>
                <w:bCs/>
                <w:color w:val="000000"/>
                <w:sz w:val="18"/>
                <w:szCs w:val="18"/>
              </w:rPr>
              <w:br/>
            </w:r>
            <w:r w:rsidR="002113DF" w:rsidRPr="002A4394">
              <w:rPr>
                <w:rFonts w:ascii="Calibri" w:hAnsi="Calibri" w:cs="Calibri"/>
                <w:color w:val="000000"/>
                <w:sz w:val="18"/>
                <w:szCs w:val="18"/>
              </w:rPr>
              <w:t xml:space="preserve"> færre</w:t>
            </w:r>
            <w:r w:rsidR="00096A26" w:rsidRPr="002A4394">
              <w:rPr>
                <w:rFonts w:ascii="Calibri" w:hAnsi="Calibri" w:cs="Calibri"/>
                <w:color w:val="000000"/>
                <w:sz w:val="18"/>
                <w:szCs w:val="18"/>
              </w:rPr>
              <w:t xml:space="preserve"> end forventet</w:t>
            </w:r>
          </w:p>
        </w:tc>
        <w:tc>
          <w:tcPr>
            <w:tcW w:w="919" w:type="pct"/>
            <w:tcBorders>
              <w:top w:val="nil"/>
              <w:left w:val="single" w:sz="4" w:space="0" w:color="auto"/>
              <w:bottom w:val="nil"/>
              <w:right w:val="single" w:sz="4" w:space="0" w:color="auto"/>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r>
      <w:tr w:rsidR="00096A26" w:rsidRPr="002A4394" w:rsidTr="00F901DA">
        <w:trPr>
          <w:trHeight w:val="315"/>
        </w:trPr>
        <w:tc>
          <w:tcPr>
            <w:tcW w:w="1949" w:type="pct"/>
            <w:tcBorders>
              <w:top w:val="nil"/>
              <w:left w:val="single" w:sz="4" w:space="0" w:color="auto"/>
              <w:bottom w:val="nil"/>
              <w:right w:val="single" w:sz="4" w:space="0" w:color="auto"/>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2132" w:type="pct"/>
            <w:gridSpan w:val="2"/>
            <w:vMerge/>
            <w:tcBorders>
              <w:top w:val="single" w:sz="8" w:space="0" w:color="000000"/>
              <w:left w:val="single" w:sz="4" w:space="0" w:color="auto"/>
              <w:bottom w:val="single" w:sz="4" w:space="0" w:color="auto"/>
              <w:right w:val="single" w:sz="4" w:space="0" w:color="auto"/>
            </w:tcBorders>
            <w:vAlign w:val="center"/>
            <w:hideMark/>
          </w:tcPr>
          <w:p w:rsidR="00096A26" w:rsidRPr="002A4394" w:rsidRDefault="00096A26" w:rsidP="00096A26">
            <w:pPr>
              <w:rPr>
                <w:rFonts w:ascii="Calibri" w:hAnsi="Calibri" w:cs="Calibri"/>
                <w:color w:val="000000"/>
                <w:sz w:val="18"/>
                <w:szCs w:val="18"/>
              </w:rPr>
            </w:pPr>
          </w:p>
        </w:tc>
        <w:tc>
          <w:tcPr>
            <w:tcW w:w="919" w:type="pct"/>
            <w:tcBorders>
              <w:top w:val="nil"/>
              <w:left w:val="single" w:sz="4" w:space="0" w:color="auto"/>
              <w:bottom w:val="nil"/>
              <w:right w:val="single" w:sz="4" w:space="0" w:color="auto"/>
            </w:tcBorders>
            <w:shd w:val="clear" w:color="000000" w:fill="F2F2F2"/>
            <w:noWrap/>
            <w:vAlign w:val="center"/>
            <w:hideMark/>
          </w:tcPr>
          <w:p w:rsidR="00096A26" w:rsidRPr="002A4394" w:rsidRDefault="00096A26" w:rsidP="00096A26">
            <w:pPr>
              <w:rPr>
                <w:rFonts w:ascii="Calibri" w:hAnsi="Calibri" w:cs="Calibri"/>
                <w:b/>
                <w:bCs/>
                <w:color w:val="FFFFFF"/>
                <w:sz w:val="18"/>
                <w:szCs w:val="18"/>
              </w:rPr>
            </w:pPr>
            <w:r w:rsidRPr="002A4394">
              <w:rPr>
                <w:rFonts w:ascii="Calibri" w:hAnsi="Calibri" w:cs="Calibri"/>
                <w:b/>
                <w:bCs/>
                <w:color w:val="FFFFFF"/>
                <w:sz w:val="18"/>
                <w:szCs w:val="18"/>
              </w:rPr>
              <w:t> </w:t>
            </w:r>
          </w:p>
        </w:tc>
      </w:tr>
      <w:tr w:rsidR="00096A26" w:rsidRPr="002A4394" w:rsidTr="00F901DA">
        <w:trPr>
          <w:trHeight w:val="300"/>
        </w:trPr>
        <w:tc>
          <w:tcPr>
            <w:tcW w:w="1949" w:type="pct"/>
            <w:tcBorders>
              <w:top w:val="nil"/>
              <w:left w:val="single" w:sz="4" w:space="0" w:color="auto"/>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888" w:type="pct"/>
            <w:tcBorders>
              <w:top w:val="single" w:sz="4" w:space="0" w:color="auto"/>
              <w:left w:val="nil"/>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1244" w:type="pct"/>
            <w:tcBorders>
              <w:top w:val="single" w:sz="4" w:space="0" w:color="auto"/>
              <w:left w:val="nil"/>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919" w:type="pct"/>
            <w:tcBorders>
              <w:top w:val="nil"/>
              <w:left w:val="nil"/>
              <w:bottom w:val="nil"/>
              <w:right w:val="single" w:sz="4" w:space="0" w:color="auto"/>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r>
      <w:tr w:rsidR="00096A26" w:rsidRPr="002A4394" w:rsidTr="00532902">
        <w:trPr>
          <w:trHeight w:val="300"/>
        </w:trPr>
        <w:tc>
          <w:tcPr>
            <w:tcW w:w="1949" w:type="pct"/>
            <w:tcBorders>
              <w:top w:val="nil"/>
              <w:left w:val="single" w:sz="4" w:space="0" w:color="auto"/>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 </w:t>
            </w:r>
          </w:p>
        </w:tc>
        <w:tc>
          <w:tcPr>
            <w:tcW w:w="888" w:type="pct"/>
            <w:tcBorders>
              <w:top w:val="nil"/>
              <w:left w:val="nil"/>
              <w:bottom w:val="nil"/>
              <w:right w:val="nil"/>
            </w:tcBorders>
            <w:shd w:val="clear" w:color="000000" w:fill="F2F2F2"/>
            <w:noWrap/>
            <w:vAlign w:val="bottom"/>
            <w:hideMark/>
          </w:tcPr>
          <w:p w:rsidR="00096A26" w:rsidRPr="002A4394" w:rsidRDefault="00096A26" w:rsidP="00096A26">
            <w:pPr>
              <w:jc w:val="center"/>
              <w:rPr>
                <w:rFonts w:ascii="Calibri" w:hAnsi="Calibri" w:cs="Calibri"/>
                <w:color w:val="000000"/>
                <w:sz w:val="18"/>
                <w:szCs w:val="18"/>
              </w:rPr>
            </w:pPr>
            <w:r w:rsidRPr="002A4394">
              <w:rPr>
                <w:rFonts w:ascii="Calibri" w:hAnsi="Calibri" w:cs="Calibri"/>
                <w:color w:val="000000"/>
                <w:sz w:val="18"/>
                <w:szCs w:val="18"/>
              </w:rPr>
              <w:t>Faktisk</w:t>
            </w:r>
          </w:p>
        </w:tc>
        <w:tc>
          <w:tcPr>
            <w:tcW w:w="1244" w:type="pct"/>
            <w:tcBorders>
              <w:top w:val="nil"/>
              <w:left w:val="nil"/>
              <w:bottom w:val="nil"/>
              <w:right w:val="nil"/>
            </w:tcBorders>
            <w:shd w:val="clear" w:color="000000" w:fill="F2F2F2"/>
            <w:noWrap/>
            <w:vAlign w:val="bottom"/>
            <w:hideMark/>
          </w:tcPr>
          <w:p w:rsidR="00096A26" w:rsidRPr="002A4394" w:rsidRDefault="00096A26" w:rsidP="00096A26">
            <w:pPr>
              <w:jc w:val="center"/>
              <w:rPr>
                <w:rFonts w:ascii="Calibri" w:hAnsi="Calibri" w:cs="Calibri"/>
                <w:color w:val="000000"/>
                <w:sz w:val="18"/>
                <w:szCs w:val="18"/>
              </w:rPr>
            </w:pPr>
            <w:r w:rsidRPr="002A4394">
              <w:rPr>
                <w:rFonts w:ascii="Calibri" w:hAnsi="Calibri" w:cs="Calibri"/>
                <w:color w:val="000000"/>
                <w:sz w:val="18"/>
                <w:szCs w:val="18"/>
              </w:rPr>
              <w:t>Forventet</w:t>
            </w:r>
          </w:p>
        </w:tc>
        <w:tc>
          <w:tcPr>
            <w:tcW w:w="919" w:type="pct"/>
            <w:tcBorders>
              <w:top w:val="nil"/>
              <w:left w:val="nil"/>
              <w:bottom w:val="nil"/>
              <w:right w:val="single" w:sz="4" w:space="0" w:color="auto"/>
            </w:tcBorders>
            <w:shd w:val="clear" w:color="000000" w:fill="F2F2F2"/>
            <w:noWrap/>
            <w:vAlign w:val="bottom"/>
            <w:hideMark/>
          </w:tcPr>
          <w:p w:rsidR="00096A26" w:rsidRPr="002A4394" w:rsidRDefault="00096A26" w:rsidP="00096A26">
            <w:pPr>
              <w:jc w:val="center"/>
              <w:rPr>
                <w:rFonts w:ascii="Calibri" w:hAnsi="Calibri" w:cs="Calibri"/>
                <w:color w:val="000000"/>
                <w:sz w:val="18"/>
                <w:szCs w:val="18"/>
              </w:rPr>
            </w:pPr>
            <w:r w:rsidRPr="002A4394">
              <w:rPr>
                <w:rFonts w:ascii="Calibri" w:hAnsi="Calibri" w:cs="Calibri"/>
                <w:color w:val="000000"/>
                <w:sz w:val="18"/>
                <w:szCs w:val="18"/>
              </w:rPr>
              <w:t>Forskel</w:t>
            </w:r>
          </w:p>
        </w:tc>
      </w:tr>
      <w:tr w:rsidR="00096A26" w:rsidRPr="002A4394" w:rsidTr="00532902">
        <w:trPr>
          <w:trHeight w:val="300"/>
        </w:trPr>
        <w:tc>
          <w:tcPr>
            <w:tcW w:w="1949" w:type="pct"/>
            <w:tcBorders>
              <w:top w:val="nil"/>
              <w:left w:val="single" w:sz="4" w:space="0" w:color="auto"/>
              <w:bottom w:val="nil"/>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Antal fødte</w:t>
            </w:r>
          </w:p>
        </w:tc>
        <w:tc>
          <w:tcPr>
            <w:tcW w:w="888" w:type="pct"/>
            <w:tcBorders>
              <w:top w:val="nil"/>
              <w:left w:val="nil"/>
              <w:bottom w:val="nil"/>
              <w:right w:val="nil"/>
            </w:tcBorders>
            <w:shd w:val="clear" w:color="000000" w:fill="F2F2F2"/>
            <w:noWrap/>
            <w:vAlign w:val="bottom"/>
            <w:hideMark/>
          </w:tcPr>
          <w:p w:rsidR="00096A26" w:rsidRPr="002A4394" w:rsidRDefault="000A35D2" w:rsidP="00096A26">
            <w:pPr>
              <w:jc w:val="right"/>
              <w:rPr>
                <w:rFonts w:ascii="Calibri" w:hAnsi="Calibri" w:cs="Calibri"/>
                <w:color w:val="000000"/>
                <w:sz w:val="18"/>
                <w:szCs w:val="18"/>
              </w:rPr>
            </w:pPr>
            <w:r w:rsidRPr="002A4394">
              <w:rPr>
                <w:rFonts w:ascii="Calibri" w:hAnsi="Calibri" w:cs="Calibri"/>
                <w:color w:val="000000"/>
                <w:sz w:val="18"/>
                <w:szCs w:val="18"/>
              </w:rPr>
              <w:t>396</w:t>
            </w:r>
          </w:p>
        </w:tc>
        <w:tc>
          <w:tcPr>
            <w:tcW w:w="1244" w:type="pct"/>
            <w:tcBorders>
              <w:top w:val="nil"/>
              <w:left w:val="nil"/>
              <w:bottom w:val="nil"/>
              <w:right w:val="nil"/>
            </w:tcBorders>
            <w:shd w:val="clear" w:color="000000" w:fill="F2F2F2"/>
            <w:noWrap/>
            <w:vAlign w:val="bottom"/>
            <w:hideMark/>
          </w:tcPr>
          <w:p w:rsidR="00096A26" w:rsidRPr="002A4394" w:rsidRDefault="000A35D2" w:rsidP="00096A26">
            <w:pPr>
              <w:jc w:val="right"/>
              <w:rPr>
                <w:rFonts w:ascii="Calibri" w:hAnsi="Calibri" w:cs="Calibri"/>
                <w:color w:val="000000"/>
                <w:sz w:val="18"/>
                <w:szCs w:val="18"/>
              </w:rPr>
            </w:pPr>
            <w:r w:rsidRPr="002A4394">
              <w:rPr>
                <w:rFonts w:ascii="Calibri" w:hAnsi="Calibri" w:cs="Calibri"/>
                <w:color w:val="000000"/>
                <w:sz w:val="18"/>
                <w:szCs w:val="18"/>
              </w:rPr>
              <w:t>406</w:t>
            </w:r>
          </w:p>
        </w:tc>
        <w:tc>
          <w:tcPr>
            <w:tcW w:w="919" w:type="pct"/>
            <w:tcBorders>
              <w:top w:val="nil"/>
              <w:left w:val="nil"/>
              <w:bottom w:val="nil"/>
              <w:right w:val="single" w:sz="4" w:space="0" w:color="auto"/>
            </w:tcBorders>
            <w:shd w:val="clear" w:color="000000" w:fill="F2F2F2"/>
            <w:noWrap/>
            <w:vAlign w:val="bottom"/>
            <w:hideMark/>
          </w:tcPr>
          <w:p w:rsidR="00096A26" w:rsidRPr="002A4394" w:rsidRDefault="000A35D2" w:rsidP="00096A26">
            <w:pPr>
              <w:jc w:val="right"/>
              <w:rPr>
                <w:rFonts w:ascii="Calibri" w:hAnsi="Calibri" w:cs="Calibri"/>
                <w:color w:val="000000"/>
                <w:sz w:val="18"/>
                <w:szCs w:val="18"/>
              </w:rPr>
            </w:pPr>
            <w:r w:rsidRPr="002A4394">
              <w:rPr>
                <w:rFonts w:ascii="Calibri" w:hAnsi="Calibri" w:cs="Calibri"/>
                <w:color w:val="000000"/>
                <w:sz w:val="18"/>
                <w:szCs w:val="18"/>
              </w:rPr>
              <w:t>-10</w:t>
            </w:r>
          </w:p>
        </w:tc>
      </w:tr>
      <w:tr w:rsidR="00096A26" w:rsidRPr="002A4394" w:rsidTr="00532902">
        <w:trPr>
          <w:trHeight w:val="300"/>
        </w:trPr>
        <w:tc>
          <w:tcPr>
            <w:tcW w:w="1949" w:type="pct"/>
            <w:tcBorders>
              <w:top w:val="nil"/>
              <w:left w:val="single" w:sz="4" w:space="0" w:color="auto"/>
              <w:bottom w:val="single" w:sz="4" w:space="0" w:color="auto"/>
              <w:right w:val="nil"/>
            </w:tcBorders>
            <w:shd w:val="clear" w:color="000000" w:fill="F2F2F2"/>
            <w:noWrap/>
            <w:vAlign w:val="bottom"/>
            <w:hideMark/>
          </w:tcPr>
          <w:p w:rsidR="00096A26" w:rsidRPr="002A4394" w:rsidRDefault="00096A26" w:rsidP="00096A26">
            <w:pPr>
              <w:rPr>
                <w:rFonts w:ascii="Calibri" w:hAnsi="Calibri" w:cs="Calibri"/>
                <w:color w:val="000000"/>
                <w:sz w:val="18"/>
                <w:szCs w:val="18"/>
              </w:rPr>
            </w:pPr>
            <w:r w:rsidRPr="002A4394">
              <w:rPr>
                <w:rFonts w:ascii="Calibri" w:hAnsi="Calibri" w:cs="Calibri"/>
                <w:color w:val="000000"/>
                <w:sz w:val="18"/>
                <w:szCs w:val="18"/>
              </w:rPr>
              <w:t>Dødsfald</w:t>
            </w:r>
          </w:p>
        </w:tc>
        <w:tc>
          <w:tcPr>
            <w:tcW w:w="888" w:type="pct"/>
            <w:tcBorders>
              <w:top w:val="nil"/>
              <w:left w:val="nil"/>
              <w:bottom w:val="single" w:sz="4" w:space="0" w:color="auto"/>
              <w:right w:val="nil"/>
            </w:tcBorders>
            <w:shd w:val="clear" w:color="000000" w:fill="F2F2F2"/>
            <w:noWrap/>
            <w:vAlign w:val="bottom"/>
            <w:hideMark/>
          </w:tcPr>
          <w:p w:rsidR="00096A26" w:rsidRPr="002A4394" w:rsidRDefault="000A35D2" w:rsidP="00096A26">
            <w:pPr>
              <w:jc w:val="right"/>
              <w:rPr>
                <w:rFonts w:ascii="Calibri" w:hAnsi="Calibri" w:cs="Calibri"/>
                <w:color w:val="000000"/>
                <w:sz w:val="18"/>
                <w:szCs w:val="18"/>
              </w:rPr>
            </w:pPr>
            <w:r w:rsidRPr="002A4394">
              <w:rPr>
                <w:rFonts w:ascii="Calibri" w:hAnsi="Calibri" w:cs="Calibri"/>
                <w:color w:val="000000"/>
                <w:sz w:val="18"/>
                <w:szCs w:val="18"/>
              </w:rPr>
              <w:t>392</w:t>
            </w:r>
          </w:p>
        </w:tc>
        <w:tc>
          <w:tcPr>
            <w:tcW w:w="1244" w:type="pct"/>
            <w:tcBorders>
              <w:top w:val="nil"/>
              <w:left w:val="nil"/>
              <w:bottom w:val="single" w:sz="4" w:space="0" w:color="auto"/>
              <w:right w:val="nil"/>
            </w:tcBorders>
            <w:shd w:val="clear" w:color="000000" w:fill="F2F2F2"/>
            <w:noWrap/>
            <w:vAlign w:val="bottom"/>
            <w:hideMark/>
          </w:tcPr>
          <w:p w:rsidR="00096A26" w:rsidRPr="002A4394" w:rsidRDefault="000A35D2" w:rsidP="00096A26">
            <w:pPr>
              <w:jc w:val="right"/>
              <w:rPr>
                <w:rFonts w:ascii="Calibri" w:hAnsi="Calibri" w:cs="Calibri"/>
                <w:color w:val="000000"/>
                <w:sz w:val="18"/>
                <w:szCs w:val="18"/>
              </w:rPr>
            </w:pPr>
            <w:r w:rsidRPr="002A4394">
              <w:rPr>
                <w:rFonts w:ascii="Calibri" w:hAnsi="Calibri" w:cs="Calibri"/>
                <w:color w:val="000000"/>
                <w:sz w:val="18"/>
                <w:szCs w:val="18"/>
              </w:rPr>
              <w:t>365</w:t>
            </w:r>
          </w:p>
        </w:tc>
        <w:tc>
          <w:tcPr>
            <w:tcW w:w="919" w:type="pct"/>
            <w:tcBorders>
              <w:top w:val="nil"/>
              <w:left w:val="nil"/>
              <w:bottom w:val="single" w:sz="4" w:space="0" w:color="auto"/>
              <w:right w:val="single" w:sz="4" w:space="0" w:color="auto"/>
            </w:tcBorders>
            <w:shd w:val="clear" w:color="000000" w:fill="F2F2F2"/>
            <w:noWrap/>
            <w:vAlign w:val="bottom"/>
            <w:hideMark/>
          </w:tcPr>
          <w:p w:rsidR="00096A26" w:rsidRPr="002A4394" w:rsidRDefault="000A35D2" w:rsidP="00096A26">
            <w:pPr>
              <w:jc w:val="right"/>
              <w:rPr>
                <w:rFonts w:ascii="Calibri" w:hAnsi="Calibri" w:cs="Calibri"/>
                <w:color w:val="000000"/>
                <w:sz w:val="18"/>
                <w:szCs w:val="18"/>
              </w:rPr>
            </w:pPr>
            <w:r w:rsidRPr="002A4394">
              <w:rPr>
                <w:rFonts w:ascii="Calibri" w:hAnsi="Calibri" w:cs="Calibri"/>
                <w:color w:val="000000"/>
                <w:sz w:val="18"/>
                <w:szCs w:val="18"/>
              </w:rPr>
              <w:t>2</w:t>
            </w:r>
            <w:r w:rsidR="00096A26" w:rsidRPr="002A4394">
              <w:rPr>
                <w:rFonts w:ascii="Calibri" w:hAnsi="Calibri" w:cs="Calibri"/>
                <w:color w:val="000000"/>
                <w:sz w:val="18"/>
                <w:szCs w:val="18"/>
              </w:rPr>
              <w:t>7</w:t>
            </w:r>
          </w:p>
        </w:tc>
      </w:tr>
      <w:tr w:rsidR="00096A26" w:rsidRPr="002A4394" w:rsidTr="00532902">
        <w:trPr>
          <w:trHeight w:val="300"/>
        </w:trPr>
        <w:tc>
          <w:tcPr>
            <w:tcW w:w="1949" w:type="pct"/>
            <w:tcBorders>
              <w:top w:val="nil"/>
              <w:left w:val="single" w:sz="4" w:space="0" w:color="auto"/>
              <w:bottom w:val="single" w:sz="4" w:space="0" w:color="auto"/>
              <w:right w:val="nil"/>
            </w:tcBorders>
            <w:shd w:val="clear" w:color="000000" w:fill="F2F2F2"/>
            <w:noWrap/>
            <w:vAlign w:val="bottom"/>
            <w:hideMark/>
          </w:tcPr>
          <w:p w:rsidR="00096A26" w:rsidRPr="002A4394" w:rsidRDefault="00096A26" w:rsidP="00096A26">
            <w:pPr>
              <w:rPr>
                <w:rFonts w:ascii="Calibri" w:hAnsi="Calibri" w:cs="Calibri"/>
                <w:b/>
                <w:bCs/>
                <w:color w:val="000000"/>
                <w:sz w:val="18"/>
                <w:szCs w:val="18"/>
              </w:rPr>
            </w:pPr>
            <w:r w:rsidRPr="002A4394">
              <w:rPr>
                <w:rFonts w:ascii="Calibri" w:hAnsi="Calibri" w:cs="Calibri"/>
                <w:b/>
                <w:bCs/>
                <w:color w:val="000000"/>
                <w:sz w:val="18"/>
                <w:szCs w:val="18"/>
              </w:rPr>
              <w:t>Fødselsbalance</w:t>
            </w:r>
          </w:p>
        </w:tc>
        <w:tc>
          <w:tcPr>
            <w:tcW w:w="888" w:type="pct"/>
            <w:tcBorders>
              <w:top w:val="nil"/>
              <w:left w:val="nil"/>
              <w:bottom w:val="single" w:sz="4" w:space="0" w:color="auto"/>
              <w:right w:val="nil"/>
            </w:tcBorders>
            <w:shd w:val="clear" w:color="000000" w:fill="F2F2F2"/>
            <w:noWrap/>
            <w:vAlign w:val="bottom"/>
            <w:hideMark/>
          </w:tcPr>
          <w:p w:rsidR="00096A26" w:rsidRPr="002A4394" w:rsidRDefault="000A35D2" w:rsidP="00096A26">
            <w:pPr>
              <w:jc w:val="right"/>
              <w:rPr>
                <w:rFonts w:ascii="Calibri" w:hAnsi="Calibri" w:cs="Calibri"/>
                <w:b/>
                <w:bCs/>
                <w:color w:val="000000"/>
                <w:sz w:val="18"/>
                <w:szCs w:val="18"/>
              </w:rPr>
            </w:pPr>
            <w:r w:rsidRPr="002A4394">
              <w:rPr>
                <w:rFonts w:ascii="Calibri" w:hAnsi="Calibri" w:cs="Calibri"/>
                <w:b/>
                <w:bCs/>
                <w:color w:val="000000"/>
                <w:sz w:val="18"/>
                <w:szCs w:val="18"/>
              </w:rPr>
              <w:t>4</w:t>
            </w:r>
          </w:p>
        </w:tc>
        <w:tc>
          <w:tcPr>
            <w:tcW w:w="1244" w:type="pct"/>
            <w:tcBorders>
              <w:top w:val="nil"/>
              <w:left w:val="nil"/>
              <w:bottom w:val="single" w:sz="4" w:space="0" w:color="auto"/>
              <w:right w:val="nil"/>
            </w:tcBorders>
            <w:shd w:val="clear" w:color="000000" w:fill="F2F2F2"/>
            <w:noWrap/>
            <w:vAlign w:val="bottom"/>
            <w:hideMark/>
          </w:tcPr>
          <w:p w:rsidR="00096A26" w:rsidRPr="002A4394" w:rsidRDefault="000A35D2" w:rsidP="00096A26">
            <w:pPr>
              <w:jc w:val="right"/>
              <w:rPr>
                <w:rFonts w:ascii="Calibri" w:hAnsi="Calibri" w:cs="Calibri"/>
                <w:b/>
                <w:bCs/>
                <w:color w:val="000000"/>
                <w:sz w:val="18"/>
                <w:szCs w:val="18"/>
              </w:rPr>
            </w:pPr>
            <w:r w:rsidRPr="002A4394">
              <w:rPr>
                <w:rFonts w:ascii="Calibri" w:hAnsi="Calibri" w:cs="Calibri"/>
                <w:b/>
                <w:bCs/>
                <w:color w:val="000000"/>
                <w:sz w:val="18"/>
                <w:szCs w:val="18"/>
              </w:rPr>
              <w:t>41</w:t>
            </w:r>
          </w:p>
        </w:tc>
        <w:tc>
          <w:tcPr>
            <w:tcW w:w="919" w:type="pct"/>
            <w:tcBorders>
              <w:top w:val="nil"/>
              <w:left w:val="nil"/>
              <w:bottom w:val="single" w:sz="4" w:space="0" w:color="auto"/>
              <w:right w:val="single" w:sz="4" w:space="0" w:color="auto"/>
            </w:tcBorders>
            <w:shd w:val="clear" w:color="000000" w:fill="F2F2F2"/>
            <w:noWrap/>
            <w:vAlign w:val="bottom"/>
            <w:hideMark/>
          </w:tcPr>
          <w:p w:rsidR="00096A26" w:rsidRPr="002A4394" w:rsidRDefault="000A35D2" w:rsidP="00096A26">
            <w:pPr>
              <w:jc w:val="right"/>
              <w:rPr>
                <w:rFonts w:ascii="Calibri" w:hAnsi="Calibri" w:cs="Calibri"/>
                <w:b/>
                <w:bCs/>
                <w:color w:val="000000"/>
                <w:sz w:val="18"/>
                <w:szCs w:val="18"/>
              </w:rPr>
            </w:pPr>
            <w:r w:rsidRPr="002A4394">
              <w:rPr>
                <w:rFonts w:ascii="Calibri" w:hAnsi="Calibri" w:cs="Calibri"/>
                <w:b/>
                <w:bCs/>
                <w:color w:val="000000"/>
                <w:sz w:val="18"/>
                <w:szCs w:val="18"/>
              </w:rPr>
              <w:t>-37</w:t>
            </w:r>
          </w:p>
        </w:tc>
      </w:tr>
    </w:tbl>
    <w:p w:rsidR="006D04C4" w:rsidRDefault="006D04C4" w:rsidP="006D04C4"/>
    <w:p w:rsidR="006D04C4" w:rsidRDefault="006D04C4" w:rsidP="006D04C4">
      <w:r>
        <w:t>I forhold til fødselsbalancen er der blevet født</w:t>
      </w:r>
      <w:r w:rsidR="00633860">
        <w:t xml:space="preserve"> lidt</w:t>
      </w:r>
      <w:r>
        <w:t xml:space="preserve"> færre børn i Brøndby Kommune end forventet, samtidig </w:t>
      </w:r>
      <w:r w:rsidR="00633860">
        <w:t>med,</w:t>
      </w:r>
      <w:r w:rsidR="002113DF">
        <w:t xml:space="preserve"> at antal dødsfald lå</w:t>
      </w:r>
      <w:r w:rsidR="00633860">
        <w:t xml:space="preserve"> </w:t>
      </w:r>
      <w:r w:rsidR="002113DF">
        <w:t>lidt højere</w:t>
      </w:r>
      <w:r>
        <w:t xml:space="preserve"> end forventet. Alt i alt va</w:t>
      </w:r>
      <w:r w:rsidR="002113DF">
        <w:t>r der regnet med en beskeden vækst på 4 personer i 2019</w:t>
      </w:r>
      <w:r>
        <w:t xml:space="preserve">, men resultatet blev </w:t>
      </w:r>
      <w:r w:rsidR="002113DF">
        <w:t>lidt dårligere i form af et fald på 41</w:t>
      </w:r>
      <w:r>
        <w:t xml:space="preserve"> borgere, hvorfor der for fødse</w:t>
      </w:r>
      <w:r w:rsidR="00633860">
        <w:t>lsbalan</w:t>
      </w:r>
      <w:r w:rsidR="000072DB">
        <w:t>cen er tale om et resultat på -37</w:t>
      </w:r>
      <w:r>
        <w:t xml:space="preserve"> personer.</w:t>
      </w:r>
      <w:r w:rsidR="000072DB">
        <w:rPr>
          <w:highlight w:val="yellow"/>
        </w:rPr>
        <w:t xml:space="preserve"> </w:t>
      </w:r>
    </w:p>
    <w:p w:rsidR="009A7C29" w:rsidRDefault="009A7C29" w:rsidP="006D04C4"/>
    <w:p w:rsidR="009A7C29" w:rsidRPr="000072DB" w:rsidRDefault="009A7C29" w:rsidP="006D04C4">
      <w:r>
        <w:t>Alt i alt udgør flytte- og fødselsbalanc</w:t>
      </w:r>
      <w:r w:rsidR="002A4394">
        <w:t>e en forværring på 209 personer</w:t>
      </w:r>
      <w:r>
        <w:t xml:space="preserve"> i forhold til det forventede. Tillægges den tekniske korrektion på yderligere -6 personer så opnås de 215 personer som er forskellen på prognosen for 2019 og det faktiske resultat for 2019.</w:t>
      </w:r>
    </w:p>
    <w:p w:rsidR="006D04C4" w:rsidRPr="005009D6" w:rsidRDefault="00532902" w:rsidP="00096A26">
      <w:pPr>
        <w:pStyle w:val="Overskrift3"/>
        <w:numPr>
          <w:ilvl w:val="2"/>
          <w:numId w:val="5"/>
        </w:numPr>
        <w:tabs>
          <w:tab w:val="clear" w:pos="720"/>
        </w:tabs>
      </w:pPr>
      <w:bookmarkStart w:id="16" w:name="_Toc38356003"/>
      <w:r w:rsidRPr="00A940A6">
        <w:t>Overordnet udvikling</w:t>
      </w:r>
      <w:bookmarkEnd w:id="16"/>
    </w:p>
    <w:p w:rsidR="00096A26" w:rsidRDefault="006D04C4" w:rsidP="005342C3">
      <w:r w:rsidRPr="005009D6">
        <w:t>Tabel 5 nedenfor viser en oversigt over fremskrivningen af væsentlige overordnede bevægelser i befolkningen i Brøndby Kom</w:t>
      </w:r>
      <w:r w:rsidR="002A4394">
        <w:t>mune frem til primo 2030</w:t>
      </w:r>
      <w:r w:rsidRPr="005009D6">
        <w:t>.</w:t>
      </w:r>
    </w:p>
    <w:p w:rsidR="002C73E3" w:rsidRDefault="002C73E3" w:rsidP="005342C3"/>
    <w:p w:rsidR="002C73E3" w:rsidRDefault="002C73E3" w:rsidP="005342C3"/>
    <w:p w:rsidR="002C73E3" w:rsidRDefault="002C73E3" w:rsidP="005342C3"/>
    <w:p w:rsidR="00096A26" w:rsidRPr="00D30D29" w:rsidRDefault="00096A26" w:rsidP="006D04C4">
      <w:pPr>
        <w:pStyle w:val="Normal1"/>
        <w:rPr>
          <w:highlight w:val="yellow"/>
          <w:lang w:eastAsia="en-US"/>
        </w:rPr>
      </w:pPr>
    </w:p>
    <w:p w:rsidR="006D04C4" w:rsidRPr="007B3BB7" w:rsidRDefault="006D04C4" w:rsidP="006D04C4">
      <w:pPr>
        <w:pStyle w:val="Billedtekst"/>
      </w:pPr>
      <w:r w:rsidRPr="007B3BB7">
        <w:rPr>
          <w:b/>
        </w:rPr>
        <w:t xml:space="preserve">Tabel </w:t>
      </w:r>
      <w:r w:rsidRPr="007B3BB7">
        <w:rPr>
          <w:b/>
        </w:rPr>
        <w:fldChar w:fldCharType="begin"/>
      </w:r>
      <w:r w:rsidRPr="007B3BB7">
        <w:rPr>
          <w:b/>
        </w:rPr>
        <w:instrText xml:space="preserve"> SEQ Tabel \* ARABIC </w:instrText>
      </w:r>
      <w:r w:rsidRPr="007B3BB7">
        <w:rPr>
          <w:b/>
        </w:rPr>
        <w:fldChar w:fldCharType="separate"/>
      </w:r>
      <w:r w:rsidR="00313F67">
        <w:rPr>
          <w:b/>
          <w:noProof/>
        </w:rPr>
        <w:t>3</w:t>
      </w:r>
      <w:r w:rsidRPr="007B3BB7">
        <w:rPr>
          <w:b/>
        </w:rPr>
        <w:fldChar w:fldCharType="end"/>
      </w:r>
      <w:r w:rsidRPr="007B3BB7">
        <w:rPr>
          <w:b/>
        </w:rPr>
        <w:t>.</w:t>
      </w:r>
      <w:r w:rsidRPr="007B3BB7">
        <w:t xml:space="preserve"> Befolkningens historiske bevægelser fra 201</w:t>
      </w:r>
      <w:r w:rsidR="00BD4A38">
        <w:t>7</w:t>
      </w:r>
      <w:r w:rsidRPr="007B3BB7">
        <w:t>-201</w:t>
      </w:r>
      <w:r w:rsidR="00BD4A38">
        <w:t>9</w:t>
      </w:r>
      <w:r w:rsidRPr="007B3BB7">
        <w:t xml:space="preserve"> sammenholdt med fre</w:t>
      </w:r>
      <w:r w:rsidR="00BD4A38">
        <w:t>mskrevne bevægelser frem til 2030</w:t>
      </w:r>
      <w:r w:rsidRPr="007B3BB7">
        <w:t>.</w:t>
      </w:r>
    </w:p>
    <w:tbl>
      <w:tblPr>
        <w:tblW w:w="5015" w:type="pct"/>
        <w:tblCellMar>
          <w:left w:w="70" w:type="dxa"/>
          <w:right w:w="70" w:type="dxa"/>
        </w:tblCellMar>
        <w:tblLook w:val="04A0" w:firstRow="1" w:lastRow="0" w:firstColumn="1" w:lastColumn="0" w:noHBand="0" w:noVBand="1"/>
      </w:tblPr>
      <w:tblGrid>
        <w:gridCol w:w="1337"/>
        <w:gridCol w:w="595"/>
        <w:gridCol w:w="595"/>
        <w:gridCol w:w="595"/>
        <w:gridCol w:w="593"/>
        <w:gridCol w:w="594"/>
        <w:gridCol w:w="594"/>
        <w:gridCol w:w="594"/>
        <w:gridCol w:w="594"/>
        <w:gridCol w:w="594"/>
        <w:gridCol w:w="594"/>
        <w:gridCol w:w="594"/>
        <w:gridCol w:w="594"/>
        <w:gridCol w:w="594"/>
        <w:gridCol w:w="607"/>
      </w:tblGrid>
      <w:tr w:rsidR="00EE7562" w:rsidRPr="00EE7562" w:rsidTr="00EE7562">
        <w:trPr>
          <w:trHeight w:val="294"/>
        </w:trPr>
        <w:tc>
          <w:tcPr>
            <w:tcW w:w="692" w:type="pct"/>
            <w:tcBorders>
              <w:top w:val="single" w:sz="4" w:space="0" w:color="auto"/>
              <w:left w:val="nil"/>
              <w:bottom w:val="single" w:sz="4" w:space="0" w:color="auto"/>
              <w:right w:val="nil"/>
            </w:tcBorders>
            <w:shd w:val="clear" w:color="auto" w:fill="auto"/>
            <w:noWrap/>
            <w:vAlign w:val="bottom"/>
            <w:hideMark/>
          </w:tcPr>
          <w:p w:rsidR="00EE7562" w:rsidRPr="00EE7562" w:rsidRDefault="00EE7562" w:rsidP="00EE7562">
            <w:pPr>
              <w:rPr>
                <w:rFonts w:ascii="Calibri" w:hAnsi="Calibri" w:cs="Calibri"/>
                <w:color w:val="000000"/>
                <w:sz w:val="16"/>
                <w:szCs w:val="16"/>
              </w:rPr>
            </w:pPr>
            <w:r w:rsidRPr="00EE7562">
              <w:rPr>
                <w:rFonts w:ascii="Calibri" w:hAnsi="Calibri" w:cs="Calibri"/>
                <w:color w:val="000000"/>
                <w:sz w:val="16"/>
                <w:szCs w:val="16"/>
              </w:rPr>
              <w:t> </w:t>
            </w:r>
          </w:p>
        </w:tc>
        <w:tc>
          <w:tcPr>
            <w:tcW w:w="924" w:type="pct"/>
            <w:gridSpan w:val="3"/>
            <w:tcBorders>
              <w:top w:val="single" w:sz="4" w:space="0" w:color="auto"/>
              <w:left w:val="nil"/>
              <w:bottom w:val="single" w:sz="4" w:space="0" w:color="auto"/>
              <w:right w:val="nil"/>
            </w:tcBorders>
            <w:shd w:val="clear" w:color="auto" w:fill="auto"/>
            <w:noWrap/>
            <w:vAlign w:val="bottom"/>
            <w:hideMark/>
          </w:tcPr>
          <w:p w:rsidR="00EE7562" w:rsidRPr="00EE7562" w:rsidRDefault="00EE7562" w:rsidP="00EE7562">
            <w:pPr>
              <w:jc w:val="center"/>
              <w:rPr>
                <w:rFonts w:ascii="Calibri" w:hAnsi="Calibri" w:cs="Calibri"/>
                <w:b/>
                <w:bCs/>
                <w:color w:val="000000"/>
                <w:sz w:val="16"/>
                <w:szCs w:val="16"/>
              </w:rPr>
            </w:pPr>
            <w:r w:rsidRPr="00EE7562">
              <w:rPr>
                <w:rFonts w:ascii="Calibri" w:hAnsi="Calibri" w:cs="Calibri"/>
                <w:b/>
                <w:bCs/>
                <w:color w:val="000000"/>
                <w:sz w:val="16"/>
                <w:szCs w:val="16"/>
              </w:rPr>
              <w:t>Historik</w:t>
            </w:r>
          </w:p>
        </w:tc>
        <w:tc>
          <w:tcPr>
            <w:tcW w:w="3384" w:type="pct"/>
            <w:gridSpan w:val="11"/>
            <w:tcBorders>
              <w:top w:val="single" w:sz="4" w:space="0" w:color="auto"/>
              <w:left w:val="single" w:sz="4" w:space="0" w:color="auto"/>
              <w:bottom w:val="single" w:sz="4" w:space="0" w:color="auto"/>
              <w:right w:val="nil"/>
            </w:tcBorders>
            <w:shd w:val="clear" w:color="auto" w:fill="auto"/>
            <w:noWrap/>
            <w:vAlign w:val="bottom"/>
            <w:hideMark/>
          </w:tcPr>
          <w:p w:rsidR="00EE7562" w:rsidRPr="00EE7562" w:rsidRDefault="00EE7562" w:rsidP="00EE7562">
            <w:pPr>
              <w:jc w:val="center"/>
              <w:rPr>
                <w:rFonts w:ascii="Calibri" w:hAnsi="Calibri" w:cs="Calibri"/>
                <w:b/>
                <w:bCs/>
                <w:color w:val="000000"/>
                <w:sz w:val="16"/>
                <w:szCs w:val="16"/>
              </w:rPr>
            </w:pPr>
            <w:r w:rsidRPr="00EE7562">
              <w:rPr>
                <w:rFonts w:ascii="Calibri" w:hAnsi="Calibri" w:cs="Calibri"/>
                <w:b/>
                <w:bCs/>
                <w:color w:val="000000"/>
                <w:sz w:val="16"/>
                <w:szCs w:val="16"/>
              </w:rPr>
              <w:t>Prognose</w:t>
            </w:r>
          </w:p>
        </w:tc>
      </w:tr>
      <w:tr w:rsidR="00EE7562" w:rsidRPr="00EE7562" w:rsidTr="00EE7562">
        <w:trPr>
          <w:trHeight w:val="294"/>
        </w:trPr>
        <w:tc>
          <w:tcPr>
            <w:tcW w:w="692" w:type="pct"/>
            <w:tcBorders>
              <w:top w:val="nil"/>
              <w:left w:val="nil"/>
              <w:bottom w:val="single" w:sz="4" w:space="0" w:color="auto"/>
              <w:right w:val="nil"/>
            </w:tcBorders>
            <w:shd w:val="clear" w:color="auto" w:fill="auto"/>
            <w:noWrap/>
            <w:vAlign w:val="bottom"/>
            <w:hideMark/>
          </w:tcPr>
          <w:p w:rsidR="00EE7562" w:rsidRPr="00EE7562" w:rsidRDefault="00EE7562" w:rsidP="00EE7562">
            <w:pPr>
              <w:rPr>
                <w:rFonts w:ascii="Calibri" w:hAnsi="Calibri" w:cs="Calibri"/>
                <w:color w:val="000000"/>
                <w:sz w:val="16"/>
                <w:szCs w:val="16"/>
              </w:rPr>
            </w:pPr>
            <w:r w:rsidRPr="00EE7562">
              <w:rPr>
                <w:rFonts w:ascii="Calibri" w:hAnsi="Calibri" w:cs="Calibri"/>
                <w:color w:val="000000"/>
                <w:sz w:val="16"/>
                <w:szCs w:val="16"/>
              </w:rPr>
              <w:t> </w:t>
            </w:r>
          </w:p>
        </w:tc>
        <w:tc>
          <w:tcPr>
            <w:tcW w:w="308"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2017</w:t>
            </w:r>
          </w:p>
        </w:tc>
        <w:tc>
          <w:tcPr>
            <w:tcW w:w="308"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2018</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2019</w:t>
            </w:r>
          </w:p>
        </w:tc>
        <w:tc>
          <w:tcPr>
            <w:tcW w:w="307"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2020</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2021</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2022</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2023</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2024</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2026</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2028</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2029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2030</w:t>
            </w:r>
          </w:p>
        </w:tc>
      </w:tr>
      <w:tr w:rsidR="00EE7562" w:rsidRPr="00EE7562" w:rsidTr="00EE7562">
        <w:trPr>
          <w:trHeight w:val="294"/>
        </w:trPr>
        <w:tc>
          <w:tcPr>
            <w:tcW w:w="692" w:type="pct"/>
            <w:tcBorders>
              <w:top w:val="nil"/>
              <w:left w:val="nil"/>
              <w:bottom w:val="single" w:sz="4" w:space="0" w:color="auto"/>
              <w:right w:val="nil"/>
            </w:tcBorders>
            <w:shd w:val="clear" w:color="auto" w:fill="auto"/>
            <w:noWrap/>
            <w:vAlign w:val="bottom"/>
            <w:hideMark/>
          </w:tcPr>
          <w:p w:rsidR="00EE7562" w:rsidRPr="00EE7562" w:rsidRDefault="00EE7562" w:rsidP="00EE7562">
            <w:pPr>
              <w:rPr>
                <w:rFonts w:ascii="Calibri" w:hAnsi="Calibri" w:cs="Calibri"/>
                <w:b/>
                <w:bCs/>
                <w:color w:val="000000"/>
                <w:sz w:val="16"/>
                <w:szCs w:val="16"/>
              </w:rPr>
            </w:pPr>
            <w:r w:rsidRPr="00EE7562">
              <w:rPr>
                <w:rFonts w:ascii="Calibri" w:hAnsi="Calibri" w:cs="Calibri"/>
                <w:b/>
                <w:bCs/>
                <w:color w:val="000000"/>
                <w:sz w:val="16"/>
                <w:szCs w:val="16"/>
              </w:rPr>
              <w:t>Befolkning primo</w:t>
            </w:r>
          </w:p>
        </w:tc>
        <w:tc>
          <w:tcPr>
            <w:tcW w:w="308"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35.601</w:t>
            </w:r>
          </w:p>
        </w:tc>
        <w:tc>
          <w:tcPr>
            <w:tcW w:w="308"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35.541</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35.393</w:t>
            </w:r>
          </w:p>
        </w:tc>
        <w:tc>
          <w:tcPr>
            <w:tcW w:w="307"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35.094</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35.299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35.845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36.683</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37.950</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38.767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39.055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39.062</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39.129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39.189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39.175</w:t>
            </w:r>
          </w:p>
        </w:tc>
      </w:tr>
      <w:tr w:rsidR="00EE7562" w:rsidRPr="00EE7562" w:rsidTr="00EE7562">
        <w:trPr>
          <w:trHeight w:val="294"/>
        </w:trPr>
        <w:tc>
          <w:tcPr>
            <w:tcW w:w="692" w:type="pct"/>
            <w:tcBorders>
              <w:top w:val="nil"/>
              <w:left w:val="nil"/>
              <w:bottom w:val="nil"/>
              <w:right w:val="nil"/>
            </w:tcBorders>
            <w:shd w:val="clear" w:color="auto" w:fill="auto"/>
            <w:noWrap/>
            <w:vAlign w:val="bottom"/>
            <w:hideMark/>
          </w:tcPr>
          <w:p w:rsidR="00EE7562" w:rsidRPr="00EE7562" w:rsidRDefault="00EE7562" w:rsidP="00EE7562">
            <w:pPr>
              <w:rPr>
                <w:rFonts w:ascii="Calibri" w:hAnsi="Calibri" w:cs="Calibri"/>
                <w:color w:val="000000"/>
                <w:sz w:val="16"/>
                <w:szCs w:val="16"/>
              </w:rPr>
            </w:pPr>
            <w:r w:rsidRPr="00EE7562">
              <w:rPr>
                <w:rFonts w:ascii="Calibri" w:hAnsi="Calibri" w:cs="Calibri"/>
                <w:color w:val="000000"/>
                <w:sz w:val="16"/>
                <w:szCs w:val="16"/>
              </w:rPr>
              <w:t>Fødsler</w:t>
            </w:r>
          </w:p>
        </w:tc>
        <w:tc>
          <w:tcPr>
            <w:tcW w:w="308" w:type="pct"/>
            <w:tcBorders>
              <w:top w:val="nil"/>
              <w:left w:val="single" w:sz="4" w:space="0" w:color="auto"/>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388</w:t>
            </w:r>
          </w:p>
        </w:tc>
        <w:tc>
          <w:tcPr>
            <w:tcW w:w="308"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410</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396</w:t>
            </w:r>
          </w:p>
        </w:tc>
        <w:tc>
          <w:tcPr>
            <w:tcW w:w="307" w:type="pct"/>
            <w:tcBorders>
              <w:top w:val="nil"/>
              <w:left w:val="single" w:sz="4" w:space="0" w:color="auto"/>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404</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408</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421</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442</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460</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467</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464</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457</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451</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443</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436</w:t>
            </w:r>
          </w:p>
        </w:tc>
      </w:tr>
      <w:tr w:rsidR="00EE7562" w:rsidRPr="00EE7562" w:rsidTr="00EE7562">
        <w:trPr>
          <w:trHeight w:val="294"/>
        </w:trPr>
        <w:tc>
          <w:tcPr>
            <w:tcW w:w="692" w:type="pct"/>
            <w:tcBorders>
              <w:top w:val="nil"/>
              <w:left w:val="nil"/>
              <w:bottom w:val="nil"/>
              <w:right w:val="nil"/>
            </w:tcBorders>
            <w:shd w:val="clear" w:color="auto" w:fill="auto"/>
            <w:noWrap/>
            <w:vAlign w:val="bottom"/>
            <w:hideMark/>
          </w:tcPr>
          <w:p w:rsidR="00EE7562" w:rsidRPr="00EE7562" w:rsidRDefault="00EE7562" w:rsidP="00EE7562">
            <w:pPr>
              <w:rPr>
                <w:rFonts w:ascii="Calibri" w:hAnsi="Calibri" w:cs="Calibri"/>
                <w:color w:val="000000"/>
                <w:sz w:val="16"/>
                <w:szCs w:val="16"/>
              </w:rPr>
            </w:pPr>
            <w:r w:rsidRPr="00EE7562">
              <w:rPr>
                <w:rFonts w:ascii="Calibri" w:hAnsi="Calibri" w:cs="Calibri"/>
                <w:color w:val="000000"/>
                <w:sz w:val="16"/>
                <w:szCs w:val="16"/>
              </w:rPr>
              <w:t>Dødsfald</w:t>
            </w:r>
          </w:p>
        </w:tc>
        <w:tc>
          <w:tcPr>
            <w:tcW w:w="308" w:type="pct"/>
            <w:tcBorders>
              <w:top w:val="nil"/>
              <w:left w:val="single" w:sz="4" w:space="0" w:color="auto"/>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408</w:t>
            </w:r>
          </w:p>
        </w:tc>
        <w:tc>
          <w:tcPr>
            <w:tcW w:w="308"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350</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392</w:t>
            </w:r>
          </w:p>
        </w:tc>
        <w:tc>
          <w:tcPr>
            <w:tcW w:w="307" w:type="pct"/>
            <w:tcBorders>
              <w:top w:val="nil"/>
              <w:left w:val="single" w:sz="4" w:space="0" w:color="auto"/>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377</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374</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372</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371</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372</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373</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374</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374</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375</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376</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376</w:t>
            </w:r>
          </w:p>
        </w:tc>
      </w:tr>
      <w:tr w:rsidR="00EE7562" w:rsidRPr="00EE7562" w:rsidTr="00EE7562">
        <w:trPr>
          <w:trHeight w:val="294"/>
        </w:trPr>
        <w:tc>
          <w:tcPr>
            <w:tcW w:w="692" w:type="pct"/>
            <w:tcBorders>
              <w:top w:val="nil"/>
              <w:left w:val="nil"/>
              <w:bottom w:val="single" w:sz="4" w:space="0" w:color="auto"/>
              <w:right w:val="nil"/>
            </w:tcBorders>
            <w:shd w:val="clear" w:color="auto" w:fill="auto"/>
            <w:noWrap/>
            <w:vAlign w:val="bottom"/>
            <w:hideMark/>
          </w:tcPr>
          <w:p w:rsidR="00EE7562" w:rsidRPr="00EE7562" w:rsidRDefault="00EE7562" w:rsidP="00EE7562">
            <w:pPr>
              <w:rPr>
                <w:rFonts w:ascii="Calibri" w:hAnsi="Calibri" w:cs="Calibri"/>
                <w:b/>
                <w:bCs/>
                <w:color w:val="000000"/>
                <w:sz w:val="16"/>
                <w:szCs w:val="16"/>
              </w:rPr>
            </w:pPr>
            <w:r w:rsidRPr="00EE7562">
              <w:rPr>
                <w:rFonts w:ascii="Calibri" w:hAnsi="Calibri" w:cs="Calibri"/>
                <w:b/>
                <w:bCs/>
                <w:color w:val="000000"/>
                <w:sz w:val="16"/>
                <w:szCs w:val="16"/>
              </w:rPr>
              <w:t>Fødselsoverskud</w:t>
            </w:r>
          </w:p>
        </w:tc>
        <w:tc>
          <w:tcPr>
            <w:tcW w:w="308"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w:t>
            </w:r>
          </w:p>
        </w:tc>
        <w:tc>
          <w:tcPr>
            <w:tcW w:w="308"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60</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4</w:t>
            </w:r>
          </w:p>
        </w:tc>
        <w:tc>
          <w:tcPr>
            <w:tcW w:w="307"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34</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49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71</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88</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94</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90</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83</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76</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67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60</w:t>
            </w:r>
          </w:p>
        </w:tc>
      </w:tr>
      <w:tr w:rsidR="00EE7562" w:rsidRPr="00EE7562" w:rsidTr="00EE7562">
        <w:trPr>
          <w:trHeight w:val="294"/>
        </w:trPr>
        <w:tc>
          <w:tcPr>
            <w:tcW w:w="692" w:type="pct"/>
            <w:tcBorders>
              <w:top w:val="nil"/>
              <w:left w:val="nil"/>
              <w:bottom w:val="nil"/>
              <w:right w:val="nil"/>
            </w:tcBorders>
            <w:shd w:val="clear" w:color="auto" w:fill="auto"/>
            <w:noWrap/>
            <w:vAlign w:val="bottom"/>
            <w:hideMark/>
          </w:tcPr>
          <w:p w:rsidR="00EE7562" w:rsidRPr="00EE7562" w:rsidRDefault="00EE7562" w:rsidP="00EE7562">
            <w:pPr>
              <w:rPr>
                <w:rFonts w:ascii="Calibri" w:hAnsi="Calibri" w:cs="Calibri"/>
                <w:color w:val="000000"/>
                <w:sz w:val="16"/>
                <w:szCs w:val="16"/>
              </w:rPr>
            </w:pPr>
            <w:r w:rsidRPr="00EE7562">
              <w:rPr>
                <w:rFonts w:ascii="Calibri" w:hAnsi="Calibri" w:cs="Calibri"/>
                <w:color w:val="000000"/>
                <w:sz w:val="16"/>
                <w:szCs w:val="16"/>
              </w:rPr>
              <w:t>Tilflyttere</w:t>
            </w:r>
          </w:p>
        </w:tc>
        <w:tc>
          <w:tcPr>
            <w:tcW w:w="308" w:type="pct"/>
            <w:tcBorders>
              <w:top w:val="nil"/>
              <w:left w:val="single" w:sz="4" w:space="0" w:color="auto"/>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2.915</w:t>
            </w:r>
          </w:p>
        </w:tc>
        <w:tc>
          <w:tcPr>
            <w:tcW w:w="308"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2.929</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2.738</w:t>
            </w:r>
          </w:p>
        </w:tc>
        <w:tc>
          <w:tcPr>
            <w:tcW w:w="307" w:type="pct"/>
            <w:tcBorders>
              <w:top w:val="nil"/>
              <w:left w:val="single" w:sz="4" w:space="0" w:color="auto"/>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2.956</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3.555</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3.959</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4.492</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4.256</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3.787</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3.344</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3.340</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3.285</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3.181</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3.141</w:t>
            </w:r>
          </w:p>
        </w:tc>
      </w:tr>
      <w:tr w:rsidR="00EE7562" w:rsidRPr="00EE7562" w:rsidTr="00EE7562">
        <w:trPr>
          <w:trHeight w:val="294"/>
        </w:trPr>
        <w:tc>
          <w:tcPr>
            <w:tcW w:w="692" w:type="pct"/>
            <w:tcBorders>
              <w:top w:val="nil"/>
              <w:left w:val="nil"/>
              <w:bottom w:val="nil"/>
              <w:right w:val="nil"/>
            </w:tcBorders>
            <w:shd w:val="clear" w:color="auto" w:fill="auto"/>
            <w:noWrap/>
            <w:vAlign w:val="bottom"/>
            <w:hideMark/>
          </w:tcPr>
          <w:p w:rsidR="00EE7562" w:rsidRPr="00EE7562" w:rsidRDefault="00EE7562" w:rsidP="00EE7562">
            <w:pPr>
              <w:rPr>
                <w:rFonts w:ascii="Calibri" w:hAnsi="Calibri" w:cs="Calibri"/>
                <w:color w:val="000000"/>
                <w:sz w:val="16"/>
                <w:szCs w:val="16"/>
              </w:rPr>
            </w:pPr>
            <w:r w:rsidRPr="00EE7562">
              <w:rPr>
                <w:rFonts w:ascii="Calibri" w:hAnsi="Calibri" w:cs="Calibri"/>
                <w:color w:val="000000"/>
                <w:sz w:val="16"/>
                <w:szCs w:val="16"/>
              </w:rPr>
              <w:t>Fraflyttere</w:t>
            </w:r>
          </w:p>
        </w:tc>
        <w:tc>
          <w:tcPr>
            <w:tcW w:w="308" w:type="pct"/>
            <w:tcBorders>
              <w:top w:val="nil"/>
              <w:left w:val="single" w:sz="4" w:space="0" w:color="auto"/>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2.911</w:t>
            </w:r>
          </w:p>
        </w:tc>
        <w:tc>
          <w:tcPr>
            <w:tcW w:w="308"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3.115</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3.035</w:t>
            </w:r>
          </w:p>
        </w:tc>
        <w:tc>
          <w:tcPr>
            <w:tcW w:w="307" w:type="pct"/>
            <w:tcBorders>
              <w:top w:val="nil"/>
              <w:left w:val="single" w:sz="4" w:space="0" w:color="auto"/>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2.777</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3.046</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3.175</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3.301</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3.532</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3.598</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3.430</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3.360</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3.304</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3.266</w:t>
            </w:r>
          </w:p>
        </w:tc>
        <w:tc>
          <w:tcPr>
            <w:tcW w:w="307" w:type="pct"/>
            <w:tcBorders>
              <w:top w:val="nil"/>
              <w:left w:val="nil"/>
              <w:bottom w:val="nil"/>
              <w:right w:val="nil"/>
            </w:tcBorders>
            <w:shd w:val="clear" w:color="auto" w:fill="auto"/>
            <w:noWrap/>
            <w:vAlign w:val="bottom"/>
            <w:hideMark/>
          </w:tcPr>
          <w:p w:rsidR="00EE7562" w:rsidRPr="00EE7562" w:rsidRDefault="00EE7562" w:rsidP="00EE7562">
            <w:pPr>
              <w:jc w:val="right"/>
              <w:rPr>
                <w:rFonts w:ascii="Calibri" w:hAnsi="Calibri" w:cs="Calibri"/>
                <w:color w:val="000000"/>
                <w:sz w:val="16"/>
                <w:szCs w:val="16"/>
              </w:rPr>
            </w:pPr>
            <w:r w:rsidRPr="00EE7562">
              <w:rPr>
                <w:rFonts w:ascii="Calibri" w:hAnsi="Calibri" w:cs="Calibri"/>
                <w:color w:val="000000"/>
                <w:sz w:val="16"/>
                <w:szCs w:val="16"/>
              </w:rPr>
              <w:t>3.224</w:t>
            </w:r>
          </w:p>
        </w:tc>
      </w:tr>
      <w:tr w:rsidR="00EE7562" w:rsidRPr="00EE7562" w:rsidTr="00EE7562">
        <w:trPr>
          <w:trHeight w:val="294"/>
        </w:trPr>
        <w:tc>
          <w:tcPr>
            <w:tcW w:w="692" w:type="pct"/>
            <w:tcBorders>
              <w:top w:val="nil"/>
              <w:left w:val="nil"/>
              <w:bottom w:val="nil"/>
              <w:right w:val="nil"/>
            </w:tcBorders>
            <w:shd w:val="clear" w:color="auto" w:fill="auto"/>
            <w:noWrap/>
            <w:vAlign w:val="bottom"/>
            <w:hideMark/>
          </w:tcPr>
          <w:p w:rsidR="00EE7562" w:rsidRPr="00EE7562" w:rsidRDefault="00EE7562" w:rsidP="00EE7562">
            <w:pPr>
              <w:rPr>
                <w:rFonts w:ascii="Calibri" w:hAnsi="Calibri" w:cs="Calibri"/>
                <w:b/>
                <w:bCs/>
                <w:color w:val="000000"/>
                <w:sz w:val="16"/>
                <w:szCs w:val="16"/>
              </w:rPr>
            </w:pPr>
            <w:r w:rsidRPr="00EE7562">
              <w:rPr>
                <w:rFonts w:ascii="Calibri" w:hAnsi="Calibri" w:cs="Calibri"/>
                <w:b/>
                <w:bCs/>
                <w:color w:val="000000"/>
                <w:sz w:val="16"/>
                <w:szCs w:val="16"/>
              </w:rPr>
              <w:t>Flyttebalance</w:t>
            </w:r>
          </w:p>
        </w:tc>
        <w:tc>
          <w:tcPr>
            <w:tcW w:w="308"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4</w:t>
            </w:r>
          </w:p>
        </w:tc>
        <w:tc>
          <w:tcPr>
            <w:tcW w:w="308"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-186</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-297</w:t>
            </w:r>
          </w:p>
        </w:tc>
        <w:tc>
          <w:tcPr>
            <w:tcW w:w="307"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179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509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784</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1191</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724</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189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-86</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-85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-83</w:t>
            </w:r>
          </w:p>
        </w:tc>
      </w:tr>
      <w:tr w:rsidR="00EE7562" w:rsidRPr="00EE7562" w:rsidTr="00EE7562">
        <w:trPr>
          <w:trHeight w:val="294"/>
        </w:trPr>
        <w:tc>
          <w:tcPr>
            <w:tcW w:w="692" w:type="pct"/>
            <w:tcBorders>
              <w:top w:val="single" w:sz="4" w:space="0" w:color="auto"/>
              <w:left w:val="nil"/>
              <w:bottom w:val="single" w:sz="4" w:space="0" w:color="auto"/>
              <w:right w:val="nil"/>
            </w:tcBorders>
            <w:shd w:val="clear" w:color="auto" w:fill="auto"/>
            <w:noWrap/>
            <w:vAlign w:val="bottom"/>
            <w:hideMark/>
          </w:tcPr>
          <w:p w:rsidR="00EE7562" w:rsidRPr="00EE7562" w:rsidRDefault="00EE7562" w:rsidP="00EE7562">
            <w:pPr>
              <w:rPr>
                <w:rFonts w:ascii="Calibri" w:hAnsi="Calibri" w:cs="Calibri"/>
                <w:b/>
                <w:bCs/>
                <w:color w:val="000000"/>
                <w:sz w:val="16"/>
                <w:szCs w:val="16"/>
              </w:rPr>
            </w:pPr>
            <w:r w:rsidRPr="00EE7562">
              <w:rPr>
                <w:rFonts w:ascii="Calibri" w:hAnsi="Calibri" w:cs="Calibri"/>
                <w:b/>
                <w:bCs/>
                <w:color w:val="000000"/>
                <w:sz w:val="16"/>
                <w:szCs w:val="16"/>
              </w:rPr>
              <w:t>Korrektioner</w:t>
            </w:r>
          </w:p>
        </w:tc>
        <w:tc>
          <w:tcPr>
            <w:tcW w:w="308"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-44</w:t>
            </w:r>
          </w:p>
        </w:tc>
        <w:tc>
          <w:tcPr>
            <w:tcW w:w="308"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-22</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-6</w:t>
            </w:r>
          </w:p>
        </w:tc>
        <w:tc>
          <w:tcPr>
            <w:tcW w:w="307"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4</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6</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4</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4</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4</w:t>
            </w:r>
          </w:p>
        </w:tc>
      </w:tr>
      <w:tr w:rsidR="00EE7562" w:rsidRPr="00EE7562" w:rsidTr="00EE7562">
        <w:trPr>
          <w:trHeight w:val="294"/>
        </w:trPr>
        <w:tc>
          <w:tcPr>
            <w:tcW w:w="692" w:type="pct"/>
            <w:tcBorders>
              <w:top w:val="nil"/>
              <w:left w:val="nil"/>
              <w:bottom w:val="single" w:sz="4" w:space="0" w:color="auto"/>
              <w:right w:val="nil"/>
            </w:tcBorders>
            <w:shd w:val="clear" w:color="auto" w:fill="auto"/>
            <w:noWrap/>
            <w:vAlign w:val="bottom"/>
            <w:hideMark/>
          </w:tcPr>
          <w:p w:rsidR="00EE7562" w:rsidRPr="00EE7562" w:rsidRDefault="00EE7562" w:rsidP="00EE7562">
            <w:pPr>
              <w:rPr>
                <w:rFonts w:ascii="Calibri" w:hAnsi="Calibri" w:cs="Calibri"/>
                <w:b/>
                <w:bCs/>
                <w:color w:val="000000"/>
                <w:sz w:val="16"/>
                <w:szCs w:val="16"/>
              </w:rPr>
            </w:pPr>
            <w:r w:rsidRPr="00EE7562">
              <w:rPr>
                <w:rFonts w:ascii="Calibri" w:hAnsi="Calibri" w:cs="Calibri"/>
                <w:b/>
                <w:bCs/>
                <w:color w:val="000000"/>
                <w:sz w:val="16"/>
                <w:szCs w:val="16"/>
              </w:rPr>
              <w:t>Samlet udvikling</w:t>
            </w:r>
          </w:p>
        </w:tc>
        <w:tc>
          <w:tcPr>
            <w:tcW w:w="308"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-60</w:t>
            </w:r>
          </w:p>
        </w:tc>
        <w:tc>
          <w:tcPr>
            <w:tcW w:w="308"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-148</w:t>
            </w:r>
          </w:p>
        </w:tc>
        <w:tc>
          <w:tcPr>
            <w:tcW w:w="307" w:type="pct"/>
            <w:tcBorders>
              <w:top w:val="nil"/>
              <w:left w:val="nil"/>
              <w:bottom w:val="single" w:sz="4" w:space="0" w:color="auto"/>
              <w:right w:val="single" w:sz="4" w:space="0" w:color="auto"/>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-299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207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546</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837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1.267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817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289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67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61</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-19</w:t>
            </w:r>
          </w:p>
        </w:tc>
      </w:tr>
      <w:tr w:rsidR="00EE7562" w:rsidRPr="00EE7562" w:rsidTr="00EE7562">
        <w:trPr>
          <w:trHeight w:val="294"/>
        </w:trPr>
        <w:tc>
          <w:tcPr>
            <w:tcW w:w="692" w:type="pct"/>
            <w:tcBorders>
              <w:top w:val="nil"/>
              <w:left w:val="nil"/>
              <w:bottom w:val="single" w:sz="4" w:space="0" w:color="auto"/>
              <w:right w:val="nil"/>
            </w:tcBorders>
            <w:shd w:val="clear" w:color="auto" w:fill="auto"/>
            <w:noWrap/>
            <w:vAlign w:val="bottom"/>
            <w:hideMark/>
          </w:tcPr>
          <w:p w:rsidR="00EE7562" w:rsidRPr="00EE7562" w:rsidRDefault="00EE7562" w:rsidP="00EE7562">
            <w:pPr>
              <w:rPr>
                <w:rFonts w:ascii="Calibri" w:hAnsi="Calibri" w:cs="Calibri"/>
                <w:b/>
                <w:bCs/>
                <w:color w:val="000000"/>
                <w:sz w:val="16"/>
                <w:szCs w:val="16"/>
              </w:rPr>
            </w:pPr>
            <w:r w:rsidRPr="00EE7562">
              <w:rPr>
                <w:rFonts w:ascii="Calibri" w:hAnsi="Calibri" w:cs="Calibri"/>
                <w:b/>
                <w:bCs/>
                <w:color w:val="000000"/>
                <w:sz w:val="16"/>
                <w:szCs w:val="16"/>
              </w:rPr>
              <w:t>Befolkning ultimo</w:t>
            </w:r>
          </w:p>
        </w:tc>
        <w:tc>
          <w:tcPr>
            <w:tcW w:w="308"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35.541</w:t>
            </w:r>
          </w:p>
        </w:tc>
        <w:tc>
          <w:tcPr>
            <w:tcW w:w="308"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35.393</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35.094</w:t>
            </w:r>
          </w:p>
        </w:tc>
        <w:tc>
          <w:tcPr>
            <w:tcW w:w="307" w:type="pct"/>
            <w:tcBorders>
              <w:top w:val="nil"/>
              <w:left w:val="single" w:sz="4" w:space="0" w:color="auto"/>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35.299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35.845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36.683</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37.950</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38.767</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39.055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39.062</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39.129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39.189</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39.175</w:t>
            </w:r>
          </w:p>
        </w:tc>
        <w:tc>
          <w:tcPr>
            <w:tcW w:w="307" w:type="pct"/>
            <w:tcBorders>
              <w:top w:val="nil"/>
              <w:left w:val="nil"/>
              <w:bottom w:val="single" w:sz="4" w:space="0" w:color="auto"/>
              <w:right w:val="nil"/>
            </w:tcBorders>
            <w:shd w:val="clear" w:color="auto" w:fill="auto"/>
            <w:noWrap/>
            <w:vAlign w:val="bottom"/>
            <w:hideMark/>
          </w:tcPr>
          <w:p w:rsidR="00EE7562" w:rsidRPr="00EE7562" w:rsidRDefault="00EE7562" w:rsidP="00EE7562">
            <w:pPr>
              <w:jc w:val="right"/>
              <w:rPr>
                <w:rFonts w:ascii="Calibri" w:hAnsi="Calibri" w:cs="Calibri"/>
                <w:b/>
                <w:bCs/>
                <w:color w:val="000000"/>
                <w:sz w:val="16"/>
                <w:szCs w:val="16"/>
              </w:rPr>
            </w:pPr>
            <w:r w:rsidRPr="00EE7562">
              <w:rPr>
                <w:rFonts w:ascii="Calibri" w:hAnsi="Calibri" w:cs="Calibri"/>
                <w:b/>
                <w:bCs/>
                <w:color w:val="000000"/>
                <w:sz w:val="16"/>
                <w:szCs w:val="16"/>
              </w:rPr>
              <w:t>39.156</w:t>
            </w:r>
          </w:p>
        </w:tc>
      </w:tr>
    </w:tbl>
    <w:p w:rsidR="006D04C4" w:rsidRDefault="006D04C4" w:rsidP="006D04C4">
      <w:pPr>
        <w:rPr>
          <w:highlight w:val="yellow"/>
        </w:rPr>
      </w:pPr>
    </w:p>
    <w:p w:rsidR="006D04C4" w:rsidRPr="0098092B" w:rsidRDefault="006D04C4" w:rsidP="006D04C4">
      <w:r w:rsidRPr="0098092B">
        <w:t xml:space="preserve">Som det fremgår af tabellen, forventes et positivt fødselsoverskud i hele prognoseperioden, hvilket er en fortsættelse af tendensen </w:t>
      </w:r>
      <w:r w:rsidR="009A7C29">
        <w:t>fra 2019</w:t>
      </w:r>
      <w:r w:rsidRPr="0098092B">
        <w:t xml:space="preserve">. Fødselsoverskuddet forventes at være stabilt </w:t>
      </w:r>
      <w:r w:rsidR="0065190A">
        <w:t>med de laveste estimater i begyndelsen og slutningen af prognoseperioden.</w:t>
      </w:r>
      <w:r w:rsidRPr="0098092B">
        <w:t xml:space="preserve"> Dette kan</w:t>
      </w:r>
      <w:r w:rsidR="0065190A">
        <w:t xml:space="preserve"> have flere årsager men der kan være sandsynlighed for</w:t>
      </w:r>
      <w:r>
        <w:t xml:space="preserve"> </w:t>
      </w:r>
      <w:r w:rsidR="0065190A">
        <w:t>at</w:t>
      </w:r>
      <w:r>
        <w:t xml:space="preserve"> </w:t>
      </w:r>
      <w:r w:rsidR="0065190A">
        <w:t xml:space="preserve">inden boligbyggeriet for alvor igangsættes og lige efter det forventeligt har toppet, vil have en indflydelse på tilflytningen generelt og især en </w:t>
      </w:r>
      <w:r w:rsidRPr="0098092B">
        <w:t>svag</w:t>
      </w:r>
      <w:r w:rsidR="0065190A">
        <w:t>ere</w:t>
      </w:r>
      <w:r w:rsidRPr="0098092B">
        <w:t xml:space="preserve"> tilflytning til de forventede nye boliger af kvinder i den mest fertile/fødedygtige alder.</w:t>
      </w:r>
    </w:p>
    <w:p w:rsidR="006D04C4" w:rsidRPr="00D30D29" w:rsidRDefault="006D04C4" w:rsidP="006D04C4">
      <w:pPr>
        <w:rPr>
          <w:highlight w:val="yellow"/>
        </w:rPr>
      </w:pPr>
    </w:p>
    <w:p w:rsidR="006D04C4" w:rsidRDefault="006D04C4" w:rsidP="006D04C4">
      <w:r w:rsidRPr="0098092B">
        <w:t>Det fremgår endvidere af tabellen, at der forventes en positiv flyttebalance først i prognosen, mens der forventes en negativ flyttebalance sidst i prognosen. Dette hænger sammen med en kombination af en forudsat udvikling fra fortætning til ”normal” udtynding i den eksisterende boligmas</w:t>
      </w:r>
      <w:r w:rsidR="00287854">
        <w:t>se og forløbet af det</w:t>
      </w:r>
      <w:r w:rsidRPr="0098092B">
        <w:t xml:space="preserve"> forventede boligbyggeri i kommunen.</w:t>
      </w:r>
      <w:r>
        <w:t xml:space="preserve"> </w:t>
      </w:r>
    </w:p>
    <w:p w:rsidR="006D04C4" w:rsidRPr="00D30D29" w:rsidRDefault="006D04C4" w:rsidP="006D04C4">
      <w:pPr>
        <w:rPr>
          <w:highlight w:val="yellow"/>
        </w:rPr>
      </w:pPr>
    </w:p>
    <w:p w:rsidR="006D04C4" w:rsidRPr="00F22E66" w:rsidRDefault="006D04C4" w:rsidP="006D04C4">
      <w:r w:rsidRPr="00F22E66">
        <w:t>Samlet s</w:t>
      </w:r>
      <w:r w:rsidR="0065190A">
        <w:t>et stiger befolkningstallet</w:t>
      </w:r>
      <w:r w:rsidRPr="00F22E66">
        <w:t xml:space="preserve"> </w:t>
      </w:r>
      <w:r w:rsidR="0065190A">
        <w:t xml:space="preserve">i hele prognoseperioden, </w:t>
      </w:r>
      <w:r w:rsidRPr="00F22E66">
        <w:t>hvor det topper</w:t>
      </w:r>
      <w:r w:rsidR="00BD4A38">
        <w:t xml:space="preserve"> med 39.175</w:t>
      </w:r>
      <w:r>
        <w:t xml:space="preserve"> personer</w:t>
      </w:r>
      <w:r w:rsidR="00BD4A38">
        <w:t xml:space="preserve"> ved indgangen til 2030</w:t>
      </w:r>
      <w:r>
        <w:t xml:space="preserve">. </w:t>
      </w:r>
    </w:p>
    <w:p w:rsidR="006D04C4" w:rsidRPr="005B734A" w:rsidRDefault="006D04C4" w:rsidP="006D04C4">
      <w:pPr>
        <w:pStyle w:val="Overskrift3"/>
        <w:numPr>
          <w:ilvl w:val="2"/>
          <w:numId w:val="5"/>
        </w:numPr>
        <w:tabs>
          <w:tab w:val="clear" w:pos="720"/>
        </w:tabs>
      </w:pPr>
      <w:bookmarkStart w:id="17" w:name="_Toc38356004"/>
      <w:r w:rsidRPr="005B734A">
        <w:lastRenderedPageBreak/>
        <w:t>Danmarks Statistiks befolkningsprognose</w:t>
      </w:r>
      <w:bookmarkEnd w:id="17"/>
    </w:p>
    <w:p w:rsidR="00287854" w:rsidRPr="0059107A" w:rsidRDefault="006D04C4" w:rsidP="0059107A">
      <w:r w:rsidRPr="005B734A">
        <w:t xml:space="preserve">Figur </w:t>
      </w:r>
      <w:r>
        <w:t>8</w:t>
      </w:r>
      <w:r w:rsidRPr="005B734A">
        <w:t xml:space="preserve"> nedenfor viser en sammenligning mellem Brøndby Kommune</w:t>
      </w:r>
      <w:r w:rsidR="00AD3795">
        <w:t>s befolkningsprognose 2019</w:t>
      </w:r>
      <w:r w:rsidRPr="005B734A">
        <w:t xml:space="preserve"> og Danmarks Statistiks befolkning</w:t>
      </w:r>
      <w:r>
        <w:t>sfremskrivning 201</w:t>
      </w:r>
      <w:r w:rsidR="00AD3795">
        <w:t>8</w:t>
      </w:r>
      <w:r>
        <w:rPr>
          <w:rStyle w:val="Fodnotehenvisning"/>
        </w:rPr>
        <w:footnoteReference w:id="1"/>
      </w:r>
      <w:r>
        <w:t>.</w:t>
      </w:r>
    </w:p>
    <w:p w:rsidR="00287854" w:rsidRDefault="00287854" w:rsidP="006D04C4">
      <w:pPr>
        <w:pStyle w:val="Billedtekst"/>
        <w:rPr>
          <w:rFonts w:ascii="Arial" w:hAnsi="Arial"/>
          <w:bCs w:val="0"/>
          <w:sz w:val="22"/>
          <w:szCs w:val="24"/>
          <w:lang w:eastAsia="da-DK"/>
        </w:rPr>
      </w:pPr>
    </w:p>
    <w:p w:rsidR="00287854" w:rsidRDefault="003823D9" w:rsidP="006D04C4">
      <w:pPr>
        <w:pStyle w:val="Billedtekst"/>
        <w:rPr>
          <w:rFonts w:ascii="Arial" w:hAnsi="Arial"/>
          <w:bCs w:val="0"/>
          <w:sz w:val="22"/>
          <w:szCs w:val="24"/>
          <w:lang w:eastAsia="da-DK"/>
        </w:rPr>
      </w:pPr>
      <w:r>
        <w:rPr>
          <w:noProof/>
          <w:lang w:eastAsia="da-DK"/>
        </w:rPr>
        <w:drawing>
          <wp:inline distT="0" distB="0" distL="0" distR="0" wp14:anchorId="7361BFD8" wp14:editId="640D3495">
            <wp:extent cx="6120765" cy="3246755"/>
            <wp:effectExtent l="0" t="0" r="0" b="0"/>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D04C4" w:rsidRPr="007B3BB7" w:rsidRDefault="006D04C4" w:rsidP="006D04C4">
      <w:pPr>
        <w:pStyle w:val="Billedtekst"/>
        <w:rPr>
          <w:highlight w:val="yellow"/>
        </w:rPr>
      </w:pPr>
      <w:r w:rsidRPr="007B3BB7">
        <w:rPr>
          <w:b/>
        </w:rPr>
        <w:t xml:space="preserve">Figur </w:t>
      </w:r>
      <w:r w:rsidRPr="007B3BB7">
        <w:rPr>
          <w:b/>
        </w:rPr>
        <w:fldChar w:fldCharType="begin"/>
      </w:r>
      <w:r w:rsidRPr="007B3BB7">
        <w:rPr>
          <w:b/>
        </w:rPr>
        <w:instrText xml:space="preserve"> SEQ Figur \* ARABIC </w:instrText>
      </w:r>
      <w:r w:rsidRPr="007B3BB7">
        <w:rPr>
          <w:b/>
        </w:rPr>
        <w:fldChar w:fldCharType="separate"/>
      </w:r>
      <w:r w:rsidR="00313F67">
        <w:rPr>
          <w:b/>
          <w:noProof/>
        </w:rPr>
        <w:t>7</w:t>
      </w:r>
      <w:r w:rsidRPr="007B3BB7">
        <w:rPr>
          <w:b/>
        </w:rPr>
        <w:fldChar w:fldCharType="end"/>
      </w:r>
      <w:r w:rsidRPr="007B3BB7">
        <w:rPr>
          <w:b/>
        </w:rPr>
        <w:t>.</w:t>
      </w:r>
      <w:r w:rsidR="003823D9">
        <w:t xml:space="preserve"> Brøndby Kommunes 2020</w:t>
      </w:r>
      <w:r w:rsidRPr="007B3BB7">
        <w:t xml:space="preserve">-prognose (Demografix) sammenholdt med </w:t>
      </w:r>
      <w:r w:rsidRPr="007B3BB7">
        <w:rPr>
          <w:noProof/>
        </w:rPr>
        <w:t>Dan</w:t>
      </w:r>
      <w:r w:rsidR="00EB4A6D">
        <w:rPr>
          <w:noProof/>
        </w:rPr>
        <w:t>marks Statistiks 2019</w:t>
      </w:r>
      <w:r w:rsidRPr="007B3BB7">
        <w:rPr>
          <w:noProof/>
        </w:rPr>
        <w:t xml:space="preserve">-prognose </w:t>
      </w:r>
      <w:r w:rsidRPr="007B3BB7">
        <w:t>for samlet indbyggertal.</w:t>
      </w:r>
    </w:p>
    <w:p w:rsidR="006D04C4" w:rsidRPr="00D30D29" w:rsidRDefault="006D04C4" w:rsidP="006D04C4">
      <w:pPr>
        <w:rPr>
          <w:noProof/>
          <w:highlight w:val="yellow"/>
        </w:rPr>
      </w:pPr>
    </w:p>
    <w:p w:rsidR="006D04C4" w:rsidRPr="007B3BB7" w:rsidRDefault="006D04C4" w:rsidP="006D04C4">
      <w:r w:rsidRPr="007B3BB7">
        <w:rPr>
          <w:noProof/>
          <w:sz w:val="18"/>
          <w:szCs w:val="18"/>
        </w:rPr>
        <w:t>Kilde: DemoGrafix og Danmarks Statistik, FRKM115.</w:t>
      </w:r>
    </w:p>
    <w:p w:rsidR="006D04C4" w:rsidRPr="00D30D29" w:rsidRDefault="006D04C4" w:rsidP="006D04C4">
      <w:pPr>
        <w:rPr>
          <w:highlight w:val="yellow"/>
        </w:rPr>
      </w:pPr>
    </w:p>
    <w:p w:rsidR="00551E37" w:rsidRPr="00F901DA" w:rsidRDefault="006D04C4" w:rsidP="006D04C4">
      <w:r w:rsidRPr="00F901DA">
        <w:t>Fi</w:t>
      </w:r>
      <w:r w:rsidR="00551E37" w:rsidRPr="00F901DA">
        <w:t>guren viser</w:t>
      </w:r>
      <w:r w:rsidR="00287854" w:rsidRPr="00F901DA">
        <w:t>,</w:t>
      </w:r>
      <w:r w:rsidRPr="00F901DA">
        <w:t xml:space="preserve"> at Brøndby Kommunes befolkningsprognos</w:t>
      </w:r>
      <w:r w:rsidR="00F901DA" w:rsidRPr="00F901DA">
        <w:t xml:space="preserve">e er en anelse </w:t>
      </w:r>
      <w:r w:rsidRPr="00F901DA">
        <w:t>mere negativ en</w:t>
      </w:r>
      <w:r w:rsidR="00F901DA" w:rsidRPr="00F901DA">
        <w:t>d Danmarks Statistiks –</w:t>
      </w:r>
      <w:r w:rsidRPr="00F901DA">
        <w:t xml:space="preserve"> i de første prognoseår. Her er der også mere stilstand i kommunens for</w:t>
      </w:r>
      <w:r w:rsidR="00F901DA" w:rsidRPr="00F901DA">
        <w:t>ventede byggeaktivitet. Fra 2022 og frem til 2030 bliver forskellen mere markant mellem</w:t>
      </w:r>
      <w:r w:rsidRPr="00F901DA">
        <w:t xml:space="preserve"> de to prognoser</w:t>
      </w:r>
      <w:r w:rsidR="00F901DA" w:rsidRPr="00F901DA">
        <w:t>.</w:t>
      </w:r>
      <w:r w:rsidR="00551E37" w:rsidRPr="00F901DA">
        <w:t xml:space="preserve"> </w:t>
      </w:r>
      <w:r w:rsidR="00F901DA" w:rsidRPr="0059107A">
        <w:t>Befolkningsprognosen er nu noget mere</w:t>
      </w:r>
      <w:r w:rsidR="00617101" w:rsidRPr="0059107A">
        <w:t xml:space="preserve"> positiv i</w:t>
      </w:r>
      <w:r w:rsidR="00F901DA" w:rsidRPr="0059107A">
        <w:t xml:space="preserve"> perioden 2022-2030</w:t>
      </w:r>
      <w:r w:rsidR="00287854" w:rsidRPr="00F901DA">
        <w:t>, set i forhold til Danmarks S</w:t>
      </w:r>
      <w:r w:rsidR="00551E37" w:rsidRPr="00F901DA">
        <w:t>tatistiks fremskrivning.</w:t>
      </w:r>
    </w:p>
    <w:p w:rsidR="00551E37" w:rsidRPr="00EB4A6D" w:rsidRDefault="00551E37" w:rsidP="006D04C4">
      <w:pPr>
        <w:rPr>
          <w:highlight w:val="yellow"/>
        </w:rPr>
      </w:pPr>
    </w:p>
    <w:p w:rsidR="00291163" w:rsidRDefault="006D04C4" w:rsidP="006D04C4">
      <w:pPr>
        <w:rPr>
          <w:highlight w:val="yellow"/>
        </w:rPr>
      </w:pPr>
      <w:r w:rsidRPr="00291163">
        <w:t>Umiddelbart er det svært at komme med de præcise årsager, men de sidste par år har forskellen ikke været</w:t>
      </w:r>
      <w:r w:rsidR="00F901DA" w:rsidRPr="00291163">
        <w:t xml:space="preserve"> så stor mellem de to prognoser. Byudviklingsprojektet har selvfølgelig fået en større volumen som jo ikke er indregnet i Danmarks Statistiks befolkningsfremskrivning. </w:t>
      </w:r>
      <w:r w:rsidR="00D52FDD">
        <w:t>Og så spiller</w:t>
      </w:r>
      <w:r w:rsidR="00291163" w:rsidRPr="00291163">
        <w:t xml:space="preserve"> de senere års tilbagegang</w:t>
      </w:r>
      <w:r w:rsidR="00D52FDD">
        <w:t xml:space="preserve"> i befolkningsudviklingen i Brøndby Kommune</w:t>
      </w:r>
      <w:r w:rsidR="00291163" w:rsidRPr="00291163">
        <w:t xml:space="preserve"> også </w:t>
      </w:r>
      <w:r w:rsidR="00D52FDD">
        <w:t>en ”negativ” rolle i prognosticeringen af</w:t>
      </w:r>
      <w:r w:rsidR="00291163" w:rsidRPr="00291163">
        <w:t xml:space="preserve"> den forventede udvikling.</w:t>
      </w:r>
    </w:p>
    <w:p w:rsidR="006D04C4" w:rsidRPr="00EB4A6D" w:rsidRDefault="00291163" w:rsidP="006D04C4">
      <w:pPr>
        <w:rPr>
          <w:highlight w:val="yellow"/>
        </w:rPr>
      </w:pPr>
      <w:r w:rsidRPr="00EB4A6D">
        <w:rPr>
          <w:highlight w:val="yellow"/>
        </w:rPr>
        <w:lastRenderedPageBreak/>
        <w:t xml:space="preserve"> </w:t>
      </w:r>
    </w:p>
    <w:p w:rsidR="00E63E10" w:rsidRPr="00291163" w:rsidRDefault="00291163" w:rsidP="006D04C4">
      <w:r w:rsidRPr="00291163">
        <w:t>Det skal understreges</w:t>
      </w:r>
      <w:r w:rsidR="006D04C4" w:rsidRPr="00291163">
        <w:t xml:space="preserve"> at Danmarks Statistik ikke tager eksplicit stilling til/højde for lokalt boligbyg</w:t>
      </w:r>
      <w:r w:rsidRPr="00291163">
        <w:t>geri/byggeplaner m.m. Derfor skal der også</w:t>
      </w:r>
      <w:r w:rsidR="006D04C4" w:rsidRPr="00291163">
        <w:t xml:space="preserve"> altid være en forskel på Brøndby Kommunes prognose og Danmarks Statistiks befolkningsfremskrivning. </w:t>
      </w:r>
    </w:p>
    <w:p w:rsidR="00E63E10" w:rsidRPr="00291163" w:rsidRDefault="00E63E10" w:rsidP="006D04C4"/>
    <w:p w:rsidR="006D04C4" w:rsidRPr="005B734A" w:rsidRDefault="006D04C4" w:rsidP="006D04C4">
      <w:r w:rsidRPr="00291163">
        <w:t>Danmarks Statistiks befolkningsprognoser er – særligt på kommuneniveau – på mange måder ”bare” mekaniske fremskrivninger af den historiske udvikling uden skelen til lokale forhold som boligbyggeri, byudvikling eller forventninger om ændrede ”trends” eller tendenser.</w:t>
      </w:r>
    </w:p>
    <w:p w:rsidR="006D04C4" w:rsidRPr="00FC74CD" w:rsidRDefault="006D04C4" w:rsidP="006D04C4">
      <w:pPr>
        <w:pStyle w:val="Overskrift3"/>
        <w:numPr>
          <w:ilvl w:val="2"/>
          <w:numId w:val="5"/>
        </w:numPr>
        <w:tabs>
          <w:tab w:val="clear" w:pos="720"/>
        </w:tabs>
      </w:pPr>
      <w:bookmarkStart w:id="18" w:name="_Toc38356005"/>
      <w:r w:rsidRPr="00FC74CD">
        <w:t>Udviklingen på kort sigt</w:t>
      </w:r>
      <w:bookmarkEnd w:id="18"/>
    </w:p>
    <w:p w:rsidR="006D04C4" w:rsidRPr="00FC74CD" w:rsidRDefault="006D04C4" w:rsidP="006D04C4">
      <w:r w:rsidRPr="00FC74CD">
        <w:t>Tabel 6 nedenfor viser befolkningsfremskrivningen fordelt på aldersgrupper på kort</w:t>
      </w:r>
      <w:r w:rsidR="00781217">
        <w:t xml:space="preserve"> sigt, dvs. frem til primo 2023</w:t>
      </w:r>
      <w:r w:rsidRPr="00FC74CD">
        <w:t>.</w:t>
      </w:r>
      <w:r>
        <w:t xml:space="preserve"> </w:t>
      </w:r>
      <w:r w:rsidRPr="00FC74CD">
        <w:t>Der er taget udg</w:t>
      </w:r>
      <w:r w:rsidR="009A7C29">
        <w:t>angspunkt i primotallet for 2020</w:t>
      </w:r>
      <w:r>
        <w:t xml:space="preserve"> i beregningen af den samlede ændring</w:t>
      </w:r>
      <w:r w:rsidRPr="00FC74CD">
        <w:t>.</w:t>
      </w:r>
      <w:r w:rsidR="00781217">
        <w:t xml:space="preserve"> Der vises også en historisk udvikling hvor det er primotallene for 2018-2020 der anvendes.</w:t>
      </w:r>
    </w:p>
    <w:p w:rsidR="006D04C4" w:rsidRDefault="006D04C4" w:rsidP="006D04C4">
      <w:pPr>
        <w:rPr>
          <w:highlight w:val="yellow"/>
        </w:rPr>
      </w:pPr>
    </w:p>
    <w:p w:rsidR="0070539F" w:rsidRDefault="0070539F" w:rsidP="006D04C4">
      <w:pPr>
        <w:rPr>
          <w:highlight w:val="yellow"/>
        </w:rPr>
      </w:pPr>
    </w:p>
    <w:p w:rsidR="0070539F" w:rsidRDefault="0070539F" w:rsidP="006D04C4">
      <w:pPr>
        <w:rPr>
          <w:highlight w:val="yellow"/>
        </w:rPr>
      </w:pPr>
    </w:p>
    <w:p w:rsidR="0070539F" w:rsidRDefault="0070539F" w:rsidP="006D04C4">
      <w:pPr>
        <w:rPr>
          <w:highlight w:val="yellow"/>
        </w:rPr>
      </w:pPr>
    </w:p>
    <w:p w:rsidR="008416E5" w:rsidRDefault="008416E5" w:rsidP="006D04C4">
      <w:pPr>
        <w:rPr>
          <w:highlight w:val="yellow"/>
        </w:rPr>
      </w:pPr>
    </w:p>
    <w:p w:rsidR="0070539F" w:rsidRDefault="0070539F" w:rsidP="006D04C4">
      <w:pPr>
        <w:rPr>
          <w:highlight w:val="yellow"/>
        </w:rPr>
      </w:pPr>
    </w:p>
    <w:tbl>
      <w:tblPr>
        <w:tblW w:w="5000" w:type="pct"/>
        <w:tblCellMar>
          <w:left w:w="70" w:type="dxa"/>
          <w:right w:w="70" w:type="dxa"/>
        </w:tblCellMar>
        <w:tblLook w:val="04A0" w:firstRow="1" w:lastRow="0" w:firstColumn="1" w:lastColumn="0" w:noHBand="0" w:noVBand="1"/>
      </w:tblPr>
      <w:tblGrid>
        <w:gridCol w:w="1300"/>
        <w:gridCol w:w="1079"/>
        <w:gridCol w:w="1079"/>
        <w:gridCol w:w="1080"/>
        <w:gridCol w:w="1080"/>
        <w:gridCol w:w="1080"/>
        <w:gridCol w:w="1080"/>
        <w:gridCol w:w="893"/>
        <w:gridCol w:w="968"/>
      </w:tblGrid>
      <w:tr w:rsidR="00EB4A6D" w:rsidRPr="00EB4A6D" w:rsidTr="00EB4A6D">
        <w:trPr>
          <w:trHeight w:val="300"/>
        </w:trPr>
        <w:tc>
          <w:tcPr>
            <w:tcW w:w="5000" w:type="pct"/>
            <w:gridSpan w:val="9"/>
            <w:tcBorders>
              <w:top w:val="nil"/>
              <w:left w:val="nil"/>
              <w:bottom w:val="single" w:sz="4" w:space="0" w:color="auto"/>
              <w:right w:val="nil"/>
            </w:tcBorders>
            <w:shd w:val="clear" w:color="auto" w:fill="auto"/>
            <w:noWrap/>
            <w:vAlign w:val="bottom"/>
            <w:hideMark/>
          </w:tcPr>
          <w:p w:rsidR="00EB4A6D" w:rsidRPr="00EB4A6D" w:rsidRDefault="00EB4A6D" w:rsidP="00EB4A6D">
            <w:pPr>
              <w:rPr>
                <w:rFonts w:ascii="Calibri" w:hAnsi="Calibri" w:cs="Calibri"/>
                <w:color w:val="000000"/>
                <w:sz w:val="18"/>
                <w:szCs w:val="18"/>
              </w:rPr>
            </w:pPr>
            <w:r w:rsidRPr="00EB4A6D">
              <w:rPr>
                <w:rFonts w:ascii="Calibri" w:hAnsi="Calibri" w:cs="Calibri"/>
                <w:color w:val="000000"/>
                <w:sz w:val="18"/>
                <w:szCs w:val="18"/>
              </w:rPr>
              <w:t>Tabel 6. Befolkningsfremskrivning for perioden 2020-2023.</w:t>
            </w:r>
          </w:p>
        </w:tc>
      </w:tr>
      <w:tr w:rsidR="00EB4A6D" w:rsidRPr="00EB4A6D" w:rsidTr="00EB4A6D">
        <w:trPr>
          <w:trHeight w:val="300"/>
        </w:trPr>
        <w:tc>
          <w:tcPr>
            <w:tcW w:w="675" w:type="pct"/>
            <w:tcBorders>
              <w:top w:val="nil"/>
              <w:left w:val="nil"/>
              <w:bottom w:val="nil"/>
              <w:right w:val="single" w:sz="4" w:space="0" w:color="auto"/>
            </w:tcBorders>
            <w:shd w:val="clear" w:color="auto" w:fill="auto"/>
            <w:noWrap/>
            <w:vAlign w:val="bottom"/>
            <w:hideMark/>
          </w:tcPr>
          <w:p w:rsidR="00EB4A6D" w:rsidRPr="00EB4A6D" w:rsidRDefault="00EB4A6D" w:rsidP="00EB4A6D">
            <w:pPr>
              <w:rPr>
                <w:rFonts w:ascii="Calibri" w:hAnsi="Calibri" w:cs="Calibri"/>
                <w:color w:val="000000"/>
                <w:sz w:val="18"/>
                <w:szCs w:val="18"/>
              </w:rPr>
            </w:pPr>
            <w:r w:rsidRPr="00EB4A6D">
              <w:rPr>
                <w:rFonts w:ascii="Calibri" w:hAnsi="Calibri" w:cs="Calibri"/>
                <w:color w:val="000000"/>
                <w:sz w:val="18"/>
                <w:szCs w:val="18"/>
              </w:rPr>
              <w:t> </w:t>
            </w:r>
          </w:p>
        </w:tc>
        <w:tc>
          <w:tcPr>
            <w:tcW w:w="1680" w:type="pct"/>
            <w:gridSpan w:val="3"/>
            <w:tcBorders>
              <w:top w:val="single" w:sz="4" w:space="0" w:color="auto"/>
              <w:left w:val="nil"/>
              <w:bottom w:val="nil"/>
              <w:right w:val="single" w:sz="4" w:space="0" w:color="000000"/>
            </w:tcBorders>
            <w:shd w:val="clear" w:color="auto" w:fill="auto"/>
            <w:noWrap/>
            <w:vAlign w:val="bottom"/>
            <w:hideMark/>
          </w:tcPr>
          <w:p w:rsidR="00EB4A6D" w:rsidRPr="00EB4A6D" w:rsidRDefault="00EB4A6D" w:rsidP="00EB4A6D">
            <w:pPr>
              <w:jc w:val="center"/>
              <w:rPr>
                <w:rFonts w:ascii="Calibri" w:hAnsi="Calibri" w:cs="Calibri"/>
                <w:b/>
                <w:bCs/>
                <w:color w:val="000000"/>
                <w:sz w:val="18"/>
                <w:szCs w:val="18"/>
              </w:rPr>
            </w:pPr>
            <w:r w:rsidRPr="00EB4A6D">
              <w:rPr>
                <w:rFonts w:ascii="Calibri" w:hAnsi="Calibri" w:cs="Calibri"/>
                <w:b/>
                <w:bCs/>
                <w:color w:val="000000"/>
                <w:sz w:val="18"/>
                <w:szCs w:val="18"/>
              </w:rPr>
              <w:t>Historik</w:t>
            </w:r>
          </w:p>
        </w:tc>
        <w:tc>
          <w:tcPr>
            <w:tcW w:w="1680" w:type="pct"/>
            <w:gridSpan w:val="3"/>
            <w:tcBorders>
              <w:top w:val="single" w:sz="4" w:space="0" w:color="auto"/>
              <w:left w:val="nil"/>
              <w:bottom w:val="nil"/>
              <w:right w:val="single" w:sz="4" w:space="0" w:color="000000"/>
            </w:tcBorders>
            <w:shd w:val="clear" w:color="auto" w:fill="auto"/>
            <w:noWrap/>
            <w:vAlign w:val="bottom"/>
            <w:hideMark/>
          </w:tcPr>
          <w:p w:rsidR="00EB4A6D" w:rsidRPr="00EB4A6D" w:rsidRDefault="00EB4A6D" w:rsidP="00EB4A6D">
            <w:pPr>
              <w:jc w:val="center"/>
              <w:rPr>
                <w:rFonts w:ascii="Calibri" w:hAnsi="Calibri" w:cs="Calibri"/>
                <w:b/>
                <w:bCs/>
                <w:color w:val="000000"/>
                <w:sz w:val="18"/>
                <w:szCs w:val="18"/>
              </w:rPr>
            </w:pPr>
            <w:r w:rsidRPr="00EB4A6D">
              <w:rPr>
                <w:rFonts w:ascii="Calibri" w:hAnsi="Calibri" w:cs="Calibri"/>
                <w:b/>
                <w:bCs/>
                <w:color w:val="000000"/>
                <w:sz w:val="18"/>
                <w:szCs w:val="18"/>
              </w:rPr>
              <w:t>Prognose</w:t>
            </w:r>
          </w:p>
        </w:tc>
        <w:tc>
          <w:tcPr>
            <w:tcW w:w="966" w:type="pct"/>
            <w:gridSpan w:val="2"/>
            <w:tcBorders>
              <w:top w:val="single" w:sz="4" w:space="0" w:color="auto"/>
              <w:left w:val="nil"/>
              <w:bottom w:val="nil"/>
              <w:right w:val="nil"/>
            </w:tcBorders>
            <w:shd w:val="clear" w:color="auto" w:fill="auto"/>
            <w:noWrap/>
            <w:vAlign w:val="bottom"/>
            <w:hideMark/>
          </w:tcPr>
          <w:p w:rsidR="00EB4A6D" w:rsidRPr="00EB4A6D" w:rsidRDefault="00EB4A6D" w:rsidP="00EB4A6D">
            <w:pPr>
              <w:jc w:val="center"/>
              <w:rPr>
                <w:rFonts w:ascii="Calibri" w:hAnsi="Calibri" w:cs="Calibri"/>
                <w:b/>
                <w:bCs/>
                <w:color w:val="000000"/>
                <w:sz w:val="18"/>
                <w:szCs w:val="18"/>
              </w:rPr>
            </w:pPr>
            <w:r w:rsidRPr="00EB4A6D">
              <w:rPr>
                <w:rFonts w:ascii="Calibri" w:hAnsi="Calibri" w:cs="Calibri"/>
                <w:b/>
                <w:bCs/>
                <w:color w:val="000000"/>
                <w:sz w:val="18"/>
                <w:szCs w:val="18"/>
              </w:rPr>
              <w:t>Ændring fra 2020-2023</w:t>
            </w:r>
          </w:p>
        </w:tc>
      </w:tr>
      <w:tr w:rsidR="00EB4A6D" w:rsidRPr="00EB4A6D" w:rsidTr="00EB4A6D">
        <w:trPr>
          <w:trHeight w:val="300"/>
        </w:trPr>
        <w:tc>
          <w:tcPr>
            <w:tcW w:w="675" w:type="pct"/>
            <w:tcBorders>
              <w:top w:val="nil"/>
              <w:left w:val="nil"/>
              <w:bottom w:val="single" w:sz="4" w:space="0" w:color="auto"/>
              <w:right w:val="single" w:sz="4" w:space="0" w:color="auto"/>
            </w:tcBorders>
            <w:shd w:val="clear" w:color="auto" w:fill="auto"/>
            <w:noWrap/>
            <w:vAlign w:val="bottom"/>
            <w:hideMark/>
          </w:tcPr>
          <w:p w:rsidR="00EB4A6D" w:rsidRPr="00EB4A6D" w:rsidRDefault="00EB4A6D" w:rsidP="00EB4A6D">
            <w:pPr>
              <w:rPr>
                <w:rFonts w:ascii="Calibri" w:hAnsi="Calibri" w:cs="Calibri"/>
                <w:color w:val="000000"/>
                <w:sz w:val="18"/>
                <w:szCs w:val="18"/>
              </w:rPr>
            </w:pPr>
            <w:r w:rsidRPr="00EB4A6D">
              <w:rPr>
                <w:rFonts w:ascii="Calibri" w:hAnsi="Calibri" w:cs="Calibri"/>
                <w:color w:val="000000"/>
                <w:sz w:val="18"/>
                <w:szCs w:val="18"/>
              </w:rPr>
              <w:t> </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2018</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2019</w:t>
            </w:r>
          </w:p>
        </w:tc>
        <w:tc>
          <w:tcPr>
            <w:tcW w:w="560" w:type="pct"/>
            <w:tcBorders>
              <w:top w:val="nil"/>
              <w:left w:val="nil"/>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2020</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2021</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2022</w:t>
            </w:r>
          </w:p>
        </w:tc>
        <w:tc>
          <w:tcPr>
            <w:tcW w:w="560" w:type="pct"/>
            <w:tcBorders>
              <w:top w:val="nil"/>
              <w:left w:val="nil"/>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2023</w:t>
            </w:r>
          </w:p>
        </w:tc>
        <w:tc>
          <w:tcPr>
            <w:tcW w:w="463"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Antal</w:t>
            </w:r>
          </w:p>
        </w:tc>
        <w:tc>
          <w:tcPr>
            <w:tcW w:w="503"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w:t>
            </w:r>
          </w:p>
        </w:tc>
      </w:tr>
      <w:tr w:rsidR="00EB4A6D" w:rsidRPr="00EB4A6D" w:rsidTr="00EB4A6D">
        <w:trPr>
          <w:trHeight w:val="300"/>
        </w:trPr>
        <w:tc>
          <w:tcPr>
            <w:tcW w:w="675"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0-5 år</w:t>
            </w:r>
          </w:p>
        </w:tc>
        <w:tc>
          <w:tcPr>
            <w:tcW w:w="560" w:type="pct"/>
            <w:tcBorders>
              <w:top w:val="nil"/>
              <w:left w:val="single" w:sz="4" w:space="0" w:color="auto"/>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2.564</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2.541</w:t>
            </w:r>
          </w:p>
        </w:tc>
        <w:tc>
          <w:tcPr>
            <w:tcW w:w="560"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2.464</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2.489</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2.544</w:t>
            </w:r>
          </w:p>
        </w:tc>
        <w:tc>
          <w:tcPr>
            <w:tcW w:w="560"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2.631</w:t>
            </w:r>
          </w:p>
        </w:tc>
        <w:tc>
          <w:tcPr>
            <w:tcW w:w="463"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167</w:t>
            </w:r>
          </w:p>
        </w:tc>
        <w:tc>
          <w:tcPr>
            <w:tcW w:w="503"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6,76%</w:t>
            </w:r>
          </w:p>
        </w:tc>
      </w:tr>
      <w:tr w:rsidR="00EB4A6D" w:rsidRPr="00EB4A6D" w:rsidTr="00EB4A6D">
        <w:trPr>
          <w:trHeight w:val="300"/>
        </w:trPr>
        <w:tc>
          <w:tcPr>
            <w:tcW w:w="675"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6-16 år</w:t>
            </w:r>
          </w:p>
        </w:tc>
        <w:tc>
          <w:tcPr>
            <w:tcW w:w="560" w:type="pct"/>
            <w:tcBorders>
              <w:top w:val="nil"/>
              <w:left w:val="single" w:sz="4" w:space="0" w:color="auto"/>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4.470</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4.470</w:t>
            </w:r>
          </w:p>
        </w:tc>
        <w:tc>
          <w:tcPr>
            <w:tcW w:w="560"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4.463</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4.444</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4.508</w:t>
            </w:r>
          </w:p>
        </w:tc>
        <w:tc>
          <w:tcPr>
            <w:tcW w:w="560"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4.609</w:t>
            </w:r>
          </w:p>
        </w:tc>
        <w:tc>
          <w:tcPr>
            <w:tcW w:w="463"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146</w:t>
            </w:r>
          </w:p>
        </w:tc>
        <w:tc>
          <w:tcPr>
            <w:tcW w:w="503"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3,27%</w:t>
            </w:r>
          </w:p>
        </w:tc>
      </w:tr>
      <w:tr w:rsidR="00EB4A6D" w:rsidRPr="00EB4A6D" w:rsidTr="00EB4A6D">
        <w:trPr>
          <w:trHeight w:val="300"/>
        </w:trPr>
        <w:tc>
          <w:tcPr>
            <w:tcW w:w="675"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17-66 år</w:t>
            </w:r>
          </w:p>
        </w:tc>
        <w:tc>
          <w:tcPr>
            <w:tcW w:w="560" w:type="pct"/>
            <w:tcBorders>
              <w:top w:val="nil"/>
              <w:left w:val="single" w:sz="4" w:space="0" w:color="auto"/>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22.508</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22.346</w:t>
            </w:r>
          </w:p>
        </w:tc>
        <w:tc>
          <w:tcPr>
            <w:tcW w:w="560"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22.122</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22.294</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22.663</w:t>
            </w:r>
          </w:p>
        </w:tc>
        <w:tc>
          <w:tcPr>
            <w:tcW w:w="560"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23.234</w:t>
            </w:r>
          </w:p>
        </w:tc>
        <w:tc>
          <w:tcPr>
            <w:tcW w:w="463"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1.112</w:t>
            </w:r>
          </w:p>
        </w:tc>
        <w:tc>
          <w:tcPr>
            <w:tcW w:w="503"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5,03%</w:t>
            </w:r>
          </w:p>
        </w:tc>
      </w:tr>
      <w:tr w:rsidR="00EB4A6D" w:rsidRPr="00EB4A6D" w:rsidTr="00EB4A6D">
        <w:trPr>
          <w:trHeight w:val="300"/>
        </w:trPr>
        <w:tc>
          <w:tcPr>
            <w:tcW w:w="675"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67-79 år</w:t>
            </w:r>
          </w:p>
        </w:tc>
        <w:tc>
          <w:tcPr>
            <w:tcW w:w="560" w:type="pct"/>
            <w:tcBorders>
              <w:top w:val="nil"/>
              <w:left w:val="single" w:sz="4" w:space="0" w:color="auto"/>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4.237</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4.221</w:t>
            </w:r>
          </w:p>
        </w:tc>
        <w:tc>
          <w:tcPr>
            <w:tcW w:w="560"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4.208</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4.247</w:t>
            </w:r>
          </w:p>
        </w:tc>
        <w:tc>
          <w:tcPr>
            <w:tcW w:w="560"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4.308</w:t>
            </w:r>
          </w:p>
        </w:tc>
        <w:tc>
          <w:tcPr>
            <w:tcW w:w="560"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4.371</w:t>
            </w:r>
          </w:p>
        </w:tc>
        <w:tc>
          <w:tcPr>
            <w:tcW w:w="463"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163</w:t>
            </w:r>
          </w:p>
        </w:tc>
        <w:tc>
          <w:tcPr>
            <w:tcW w:w="503"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3,87%</w:t>
            </w:r>
          </w:p>
        </w:tc>
      </w:tr>
      <w:tr w:rsidR="00EB4A6D" w:rsidRPr="00EB4A6D" w:rsidTr="00EB4A6D">
        <w:trPr>
          <w:trHeight w:val="300"/>
        </w:trPr>
        <w:tc>
          <w:tcPr>
            <w:tcW w:w="675"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+80 år</w:t>
            </w:r>
          </w:p>
        </w:tc>
        <w:tc>
          <w:tcPr>
            <w:tcW w:w="560" w:type="pct"/>
            <w:tcBorders>
              <w:top w:val="nil"/>
              <w:left w:val="single" w:sz="4" w:space="0" w:color="auto"/>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1.762</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1.815</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1.837</w:t>
            </w:r>
          </w:p>
        </w:tc>
        <w:tc>
          <w:tcPr>
            <w:tcW w:w="560" w:type="pct"/>
            <w:tcBorders>
              <w:top w:val="nil"/>
              <w:left w:val="single" w:sz="4" w:space="0" w:color="auto"/>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1.826</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1.822</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1.839</w:t>
            </w:r>
          </w:p>
        </w:tc>
        <w:tc>
          <w:tcPr>
            <w:tcW w:w="463" w:type="pct"/>
            <w:tcBorders>
              <w:top w:val="nil"/>
              <w:left w:val="single" w:sz="4" w:space="0" w:color="auto"/>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w:t>
            </w:r>
          </w:p>
        </w:tc>
        <w:tc>
          <w:tcPr>
            <w:tcW w:w="503"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0,12%</w:t>
            </w:r>
          </w:p>
        </w:tc>
      </w:tr>
      <w:tr w:rsidR="00EB4A6D" w:rsidRPr="00EB4A6D" w:rsidTr="00EB4A6D">
        <w:trPr>
          <w:trHeight w:val="300"/>
        </w:trPr>
        <w:tc>
          <w:tcPr>
            <w:tcW w:w="675" w:type="pct"/>
            <w:tcBorders>
              <w:top w:val="single" w:sz="4" w:space="0" w:color="auto"/>
              <w:left w:val="nil"/>
              <w:bottom w:val="single" w:sz="4" w:space="0" w:color="auto"/>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I alt</w:t>
            </w:r>
          </w:p>
        </w:tc>
        <w:tc>
          <w:tcPr>
            <w:tcW w:w="560" w:type="pct"/>
            <w:tcBorders>
              <w:top w:val="nil"/>
              <w:left w:val="single" w:sz="4" w:space="0" w:color="auto"/>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35.541</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35.393</w:t>
            </w:r>
          </w:p>
        </w:tc>
        <w:tc>
          <w:tcPr>
            <w:tcW w:w="560" w:type="pct"/>
            <w:tcBorders>
              <w:top w:val="nil"/>
              <w:left w:val="nil"/>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35.094</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35.299</w:t>
            </w:r>
          </w:p>
        </w:tc>
        <w:tc>
          <w:tcPr>
            <w:tcW w:w="560"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35.845</w:t>
            </w:r>
          </w:p>
        </w:tc>
        <w:tc>
          <w:tcPr>
            <w:tcW w:w="560" w:type="pct"/>
            <w:tcBorders>
              <w:top w:val="nil"/>
              <w:left w:val="nil"/>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36.683</w:t>
            </w:r>
          </w:p>
        </w:tc>
        <w:tc>
          <w:tcPr>
            <w:tcW w:w="463"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1.589</w:t>
            </w:r>
          </w:p>
        </w:tc>
        <w:tc>
          <w:tcPr>
            <w:tcW w:w="503" w:type="pct"/>
            <w:tcBorders>
              <w:top w:val="single" w:sz="4" w:space="0" w:color="auto"/>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4,53%</w:t>
            </w:r>
          </w:p>
        </w:tc>
      </w:tr>
    </w:tbl>
    <w:p w:rsidR="00EB4A6D" w:rsidRDefault="00EB4A6D" w:rsidP="00554C7D">
      <w:pPr>
        <w:rPr>
          <w:noProof/>
          <w:sz w:val="18"/>
          <w:szCs w:val="18"/>
        </w:rPr>
      </w:pPr>
    </w:p>
    <w:p w:rsidR="00554C7D" w:rsidRPr="00554C7D" w:rsidRDefault="00554C7D" w:rsidP="00554C7D">
      <w:pPr>
        <w:rPr>
          <w:i/>
          <w:noProof/>
          <w:sz w:val="18"/>
          <w:szCs w:val="18"/>
        </w:rPr>
      </w:pPr>
      <w:r>
        <w:rPr>
          <w:noProof/>
          <w:sz w:val="18"/>
          <w:szCs w:val="18"/>
        </w:rPr>
        <w:t xml:space="preserve"> </w:t>
      </w:r>
      <w:r w:rsidR="00EB4A6D">
        <w:rPr>
          <w:i/>
          <w:noProof/>
          <w:sz w:val="18"/>
          <w:szCs w:val="18"/>
        </w:rPr>
        <w:t>*2020</w:t>
      </w:r>
      <w:r w:rsidRPr="00554C7D">
        <w:rPr>
          <w:i/>
          <w:noProof/>
          <w:sz w:val="18"/>
          <w:szCs w:val="18"/>
        </w:rPr>
        <w:t xml:space="preserve"> er medtaget som historisk fordi det reelt set er ulti</w:t>
      </w:r>
      <w:r w:rsidR="00EB4A6D">
        <w:rPr>
          <w:i/>
          <w:noProof/>
          <w:sz w:val="18"/>
          <w:szCs w:val="18"/>
        </w:rPr>
        <w:t>motallet 2019</w:t>
      </w:r>
      <w:r w:rsidRPr="00554C7D">
        <w:rPr>
          <w:i/>
          <w:noProof/>
          <w:sz w:val="18"/>
          <w:szCs w:val="18"/>
        </w:rPr>
        <w:t xml:space="preserve"> der er tale om. </w:t>
      </w:r>
    </w:p>
    <w:p w:rsidR="0070539F" w:rsidRDefault="00554C7D" w:rsidP="00554C7D">
      <w:pPr>
        <w:rPr>
          <w:noProof/>
          <w:sz w:val="18"/>
          <w:szCs w:val="18"/>
        </w:rPr>
      </w:pPr>
      <w:r w:rsidRPr="007B3BB7">
        <w:rPr>
          <w:noProof/>
          <w:sz w:val="18"/>
          <w:szCs w:val="18"/>
        </w:rPr>
        <w:t>Kilde: DemoGrafix, egne beregninger</w:t>
      </w:r>
    </w:p>
    <w:p w:rsidR="0070539F" w:rsidRPr="00D30D29" w:rsidRDefault="0070539F" w:rsidP="006D04C4">
      <w:pPr>
        <w:rPr>
          <w:highlight w:val="yellow"/>
        </w:rPr>
      </w:pPr>
    </w:p>
    <w:p w:rsidR="006D04C4" w:rsidRPr="000C5520" w:rsidRDefault="006D04C4" w:rsidP="006D04C4">
      <w:r w:rsidRPr="000C5520">
        <w:t>Som det fremgår af tabellen, forve</w:t>
      </w:r>
      <w:r w:rsidR="004367B5" w:rsidRPr="000C5520">
        <w:t>ntes det, at der allerede i 2021</w:t>
      </w:r>
      <w:r w:rsidRPr="000C5520">
        <w:t xml:space="preserve"> vil ske forskydninger mellem aldersgrupperne. For det samlede befolkningstal frem mod </w:t>
      </w:r>
      <w:r w:rsidR="004367B5" w:rsidRPr="000C5520">
        <w:t>2023</w:t>
      </w:r>
      <w:r w:rsidRPr="000C5520">
        <w:t xml:space="preserve"> forventes en stigning på</w:t>
      </w:r>
      <w:r w:rsidR="004367B5" w:rsidRPr="000C5520">
        <w:t xml:space="preserve"> 1.589</w:t>
      </w:r>
      <w:r w:rsidRPr="000C5520">
        <w:t xml:space="preserve"> personer, svar</w:t>
      </w:r>
      <w:r w:rsidR="004367B5" w:rsidRPr="000C5520">
        <w:t>ende til 4,53</w:t>
      </w:r>
      <w:r w:rsidRPr="000C5520">
        <w:t xml:space="preserve"> pct. </w:t>
      </w:r>
    </w:p>
    <w:p w:rsidR="006D04C4" w:rsidRPr="000C5520" w:rsidRDefault="006D04C4" w:rsidP="006D04C4">
      <w:pPr>
        <w:rPr>
          <w:rFonts w:ascii="Calibri" w:hAnsi="Calibri" w:cs="Calibri"/>
          <w:noProof/>
          <w:sz w:val="18"/>
          <w:szCs w:val="18"/>
        </w:rPr>
      </w:pPr>
    </w:p>
    <w:p w:rsidR="006D04C4" w:rsidRPr="000C5520" w:rsidRDefault="006D04C4" w:rsidP="006D04C4">
      <w:r w:rsidRPr="000C5520">
        <w:t>Stigningen slår bredt igennem, men der er dog visse forskelle mellem aldersgrupperne. Antallet af +80-årige og 67-79-årige forventes at stige med henholdsv</w:t>
      </w:r>
      <w:r w:rsidR="00806934" w:rsidRPr="000C5520">
        <w:t>is 0,1</w:t>
      </w:r>
      <w:r w:rsidRPr="000C5520">
        <w:t xml:space="preserve"> og </w:t>
      </w:r>
      <w:r w:rsidR="00806934" w:rsidRPr="000C5520">
        <w:t>3,9</w:t>
      </w:r>
      <w:r w:rsidRPr="000C5520">
        <w:t xml:space="preserve"> pct., hvilket </w:t>
      </w:r>
      <w:r w:rsidRPr="000C5520">
        <w:lastRenderedPageBreak/>
        <w:t>svarer til hen</w:t>
      </w:r>
      <w:r w:rsidR="00806934" w:rsidRPr="000C5520">
        <w:t>holdsvis 2</w:t>
      </w:r>
      <w:r w:rsidRPr="000C5520">
        <w:t xml:space="preserve"> o</w:t>
      </w:r>
      <w:r w:rsidR="00806934" w:rsidRPr="000C5520">
        <w:t>g 163</w:t>
      </w:r>
      <w:r w:rsidRPr="000C5520">
        <w:t xml:space="preserve"> personer flere i de to aldersgrupper. Samtidig forventes den erhvervsaktive gruppe mellem 17-66 år a</w:t>
      </w:r>
      <w:r w:rsidR="00806934" w:rsidRPr="000C5520">
        <w:t>t blive forøget med 1.112</w:t>
      </w:r>
      <w:r w:rsidRPr="000C5520">
        <w:t xml:space="preserve"> personer, sv</w:t>
      </w:r>
      <w:r w:rsidR="00806934" w:rsidRPr="000C5520">
        <w:t>arende til 5,0</w:t>
      </w:r>
      <w:r w:rsidRPr="000C5520">
        <w:t xml:space="preserve"> pct. Antallet af småbørn i alderen 0-5 år forventes </w:t>
      </w:r>
      <w:r w:rsidR="00806934" w:rsidRPr="000C5520">
        <w:t>at stige med 167</w:t>
      </w:r>
      <w:r w:rsidRPr="000C5520">
        <w:t xml:space="preserve"> personer,</w:t>
      </w:r>
      <w:r w:rsidR="00806934" w:rsidRPr="000C5520">
        <w:t xml:space="preserve"> svarende til 6,8</w:t>
      </w:r>
      <w:r w:rsidRPr="000C5520">
        <w:t xml:space="preserve"> pct., mens antallet af skolebørn i alderen 6-16 år sti</w:t>
      </w:r>
      <w:r w:rsidR="00806934" w:rsidRPr="000C5520">
        <w:t>ger med 3,3</w:t>
      </w:r>
      <w:r w:rsidR="000E30FA" w:rsidRPr="000C5520">
        <w:t xml:space="preserve"> pct., eller hvad der</w:t>
      </w:r>
      <w:r w:rsidRPr="000C5520">
        <w:t xml:space="preserve"> svarer til</w:t>
      </w:r>
      <w:r w:rsidR="00806934" w:rsidRPr="000C5520">
        <w:t xml:space="preserve"> 146</w:t>
      </w:r>
      <w:r w:rsidRPr="000C5520">
        <w:t xml:space="preserve"> personer.</w:t>
      </w:r>
    </w:p>
    <w:p w:rsidR="006D04C4" w:rsidRPr="007658BC" w:rsidRDefault="006D04C4" w:rsidP="006D04C4">
      <w:pPr>
        <w:pStyle w:val="Overskrift3"/>
        <w:numPr>
          <w:ilvl w:val="2"/>
          <w:numId w:val="5"/>
        </w:numPr>
        <w:tabs>
          <w:tab w:val="clear" w:pos="720"/>
        </w:tabs>
      </w:pPr>
      <w:bookmarkStart w:id="19" w:name="_Toc38356006"/>
      <w:r w:rsidRPr="007658BC">
        <w:t>Udviklingen på mellemlang sigt og på lang sigt</w:t>
      </w:r>
      <w:bookmarkEnd w:id="19"/>
    </w:p>
    <w:p w:rsidR="006D04C4" w:rsidRPr="000C5520" w:rsidRDefault="006D04C4" w:rsidP="006D04C4">
      <w:r w:rsidRPr="000C5520">
        <w:t>Tabel 7 nedenfor viser befolkningsfremskrivningen fordelt på aldersgrupper på mellemlang sigt og på lang sigt</w:t>
      </w:r>
      <w:r w:rsidR="000C5520" w:rsidRPr="000C5520">
        <w:t>, dvs. henholdsvis frem til 2026 og frem til 2030</w:t>
      </w:r>
      <w:r w:rsidRPr="000C5520">
        <w:t>.</w:t>
      </w:r>
    </w:p>
    <w:p w:rsidR="006D04C4" w:rsidRPr="00802703" w:rsidRDefault="006D04C4" w:rsidP="006D04C4">
      <w:pPr>
        <w:rPr>
          <w:highlight w:val="yellow"/>
        </w:rPr>
      </w:pPr>
    </w:p>
    <w:p w:rsidR="006D04C4" w:rsidRPr="001C7412" w:rsidRDefault="006D04C4" w:rsidP="006D04C4">
      <w:r w:rsidRPr="001C7412">
        <w:t xml:space="preserve">Det fremgår af tabellen, at udviklingen for de +67-årige fortsætter i løbet af prognoseperioden med relativt </w:t>
      </w:r>
      <w:r w:rsidR="001C7412" w:rsidRPr="001C7412">
        <w:t>store stigninger frem til 2026</w:t>
      </w:r>
      <w:r w:rsidR="008416E5" w:rsidRPr="001C7412">
        <w:t xml:space="preserve"> </w:t>
      </w:r>
      <w:r w:rsidR="001C7412" w:rsidRPr="001C7412">
        <w:t>og 2030</w:t>
      </w:r>
      <w:r w:rsidRPr="001C7412">
        <w:t xml:space="preserve">. </w:t>
      </w:r>
      <w:r w:rsidR="008416E5" w:rsidRPr="001C7412">
        <w:t xml:space="preserve">De +80 årige </w:t>
      </w:r>
      <w:r w:rsidR="001C7412" w:rsidRPr="001C7412">
        <w:t>får også mere ”fart” på og forventes at stige</w:t>
      </w:r>
      <w:r w:rsidR="008416E5" w:rsidRPr="001C7412">
        <w:t xml:space="preserve"> med 10,9</w:t>
      </w:r>
      <w:r w:rsidRPr="001C7412">
        <w:t xml:space="preserve"> pct. på mellemlang sigt</w:t>
      </w:r>
      <w:r w:rsidR="001C7412" w:rsidRPr="001C7412">
        <w:t>,</w:t>
      </w:r>
      <w:r w:rsidRPr="001C7412">
        <w:t xml:space="preserve"> mens der sker en markant forøgelse på lang sigt, hvor stigninge</w:t>
      </w:r>
      <w:r w:rsidR="001C7412" w:rsidRPr="001C7412">
        <w:t>n fra 2020 til 2030 lander på 23.0</w:t>
      </w:r>
      <w:r w:rsidRPr="001C7412">
        <w:t xml:space="preserve"> pct.</w:t>
      </w:r>
    </w:p>
    <w:p w:rsidR="006D04C4" w:rsidRPr="00802703" w:rsidRDefault="006D04C4" w:rsidP="006D04C4">
      <w:pPr>
        <w:rPr>
          <w:highlight w:val="yellow"/>
        </w:rPr>
      </w:pPr>
    </w:p>
    <w:p w:rsidR="001C7412" w:rsidRPr="001C7412" w:rsidRDefault="006D04C4" w:rsidP="006D04C4">
      <w:r w:rsidRPr="001C7412">
        <w:t xml:space="preserve">Antallet af erhvervsaktive forventes at stige med </w:t>
      </w:r>
      <w:r w:rsidR="001C7412" w:rsidRPr="001C7412">
        <w:t>11,4 pct. frem til 2026</w:t>
      </w:r>
      <w:r w:rsidRPr="001C7412">
        <w:t>, mens der over hele</w:t>
      </w:r>
      <w:r w:rsidR="001C7412" w:rsidRPr="001C7412">
        <w:t xml:space="preserve"> perioden – dvs. fra 2020-2030</w:t>
      </w:r>
      <w:r w:rsidRPr="001C7412">
        <w:t xml:space="preserve"> – </w:t>
      </w:r>
      <w:r w:rsidR="0073442B" w:rsidRPr="001C7412">
        <w:t xml:space="preserve">også </w:t>
      </w:r>
      <w:r w:rsidRPr="001C7412">
        <w:t>forventes en samlet stigning</w:t>
      </w:r>
      <w:r w:rsidR="001C7412" w:rsidRPr="001C7412">
        <w:t xml:space="preserve"> på 9,3</w:t>
      </w:r>
      <w:r w:rsidRPr="001C7412">
        <w:t xml:space="preserve"> pct</w:t>
      </w:r>
      <w:r w:rsidR="001C7412" w:rsidRPr="001C7412">
        <w:t>., svarende til 2.062</w:t>
      </w:r>
      <w:r w:rsidRPr="001C7412">
        <w:t xml:space="preserve"> personer.</w:t>
      </w:r>
      <w:r w:rsidR="0073442B" w:rsidRPr="001C7412">
        <w:t xml:space="preserve"> Der er således tale om en jævn</w:t>
      </w:r>
      <w:r w:rsidR="001C7412" w:rsidRPr="001C7412">
        <w:t xml:space="preserve"> men solid</w:t>
      </w:r>
      <w:r w:rsidR="0073442B" w:rsidRPr="001C7412">
        <w:t xml:space="preserve"> stigning i den erhvervsaktive befolkningsgruppe i hele prognoseperioden.</w:t>
      </w:r>
      <w:r w:rsidRPr="001C7412">
        <w:t xml:space="preserve"> </w:t>
      </w:r>
    </w:p>
    <w:p w:rsidR="001C7412" w:rsidRPr="001C7412" w:rsidRDefault="001C7412" w:rsidP="006D04C4"/>
    <w:p w:rsidR="006D04C4" w:rsidRDefault="0073442B" w:rsidP="006D04C4">
      <w:r w:rsidRPr="001C7412">
        <w:t>F</w:t>
      </w:r>
      <w:r w:rsidR="006D04C4" w:rsidRPr="001C7412">
        <w:t xml:space="preserve">or </w:t>
      </w:r>
      <w:r w:rsidR="001C7412" w:rsidRPr="001C7412">
        <w:t>de 6-16 årige stiger det med 8,7</w:t>
      </w:r>
      <w:r w:rsidRPr="001C7412">
        <w:t xml:space="preserve"> pct.</w:t>
      </w:r>
      <w:r w:rsidR="001C7412" w:rsidRPr="001C7412">
        <w:t xml:space="preserve"> frem mod 2026 og 15,0 pct. i 2030</w:t>
      </w:r>
      <w:r w:rsidR="006D04C4" w:rsidRPr="001C7412">
        <w:t xml:space="preserve">. En anderledes tendens gælder for de 0-5-, hvor stigningen i det første prognoseår </w:t>
      </w:r>
      <w:r w:rsidRPr="001C7412">
        <w:t xml:space="preserve">ligger på </w:t>
      </w:r>
      <w:r w:rsidR="001C7412" w:rsidRPr="001C7412">
        <w:t>hele 21,4</w:t>
      </w:r>
      <w:r w:rsidR="006D04C4" w:rsidRPr="001C7412">
        <w:t xml:space="preserve"> pct., mens den samlede stigning fo</w:t>
      </w:r>
      <w:r w:rsidR="001C7412" w:rsidRPr="001C7412">
        <w:t>r hele prognoseperioden fra 2020-2030 forventes at udgøre19,2</w:t>
      </w:r>
      <w:r w:rsidR="006D04C4" w:rsidRPr="001C7412">
        <w:t xml:space="preserve"> pct. Stigningerne topper i den sidste </w:t>
      </w:r>
      <w:r w:rsidR="001C7412" w:rsidRPr="001C7412">
        <w:t>del af prognoseperioden for tre</w:t>
      </w:r>
      <w:r w:rsidR="006D04C4" w:rsidRPr="001C7412">
        <w:t xml:space="preserve"> alder</w:t>
      </w:r>
      <w:r w:rsidRPr="001C7412">
        <w:t>sgrupper undtaget de 0-5 årige og 17-66 årige.</w:t>
      </w:r>
      <w:r>
        <w:t xml:space="preserve"> </w:t>
      </w:r>
    </w:p>
    <w:p w:rsidR="009A7C29" w:rsidRDefault="009A7C29" w:rsidP="006D04C4"/>
    <w:p w:rsidR="009A7C29" w:rsidRDefault="009A7C29" w:rsidP="006D04C4"/>
    <w:p w:rsidR="009A7C29" w:rsidRDefault="009A7C29" w:rsidP="006D04C4"/>
    <w:p w:rsidR="009A7C29" w:rsidRDefault="009A7C29" w:rsidP="006D04C4"/>
    <w:p w:rsidR="009A7C29" w:rsidRDefault="009A7C29" w:rsidP="006D04C4"/>
    <w:p w:rsidR="009A7C29" w:rsidRDefault="009A7C29" w:rsidP="006D04C4"/>
    <w:p w:rsidR="009A7C29" w:rsidRDefault="009A7C29" w:rsidP="006D04C4"/>
    <w:p w:rsidR="000E6A8A" w:rsidRDefault="000E6A8A" w:rsidP="006D04C4"/>
    <w:p w:rsidR="000E6A8A" w:rsidRDefault="000E6A8A" w:rsidP="006D04C4"/>
    <w:p w:rsidR="009A7C29" w:rsidRDefault="009A7C29" w:rsidP="006D04C4"/>
    <w:p w:rsidR="009A7C29" w:rsidRDefault="009A7C29" w:rsidP="006D04C4"/>
    <w:p w:rsidR="006D04C4" w:rsidRPr="00D30D29" w:rsidRDefault="006D04C4" w:rsidP="006D04C4">
      <w:pPr>
        <w:pStyle w:val="Billedtekst"/>
        <w:rPr>
          <w:highlight w:val="yellow"/>
        </w:rPr>
      </w:pPr>
    </w:p>
    <w:tbl>
      <w:tblPr>
        <w:tblW w:w="5000" w:type="pct"/>
        <w:tblCellMar>
          <w:left w:w="70" w:type="dxa"/>
          <w:right w:w="70" w:type="dxa"/>
        </w:tblCellMar>
        <w:tblLook w:val="04A0" w:firstRow="1" w:lastRow="0" w:firstColumn="1" w:lastColumn="0" w:noHBand="0" w:noVBand="1"/>
      </w:tblPr>
      <w:tblGrid>
        <w:gridCol w:w="1388"/>
        <w:gridCol w:w="1153"/>
        <w:gridCol w:w="1571"/>
        <w:gridCol w:w="1151"/>
        <w:gridCol w:w="952"/>
        <w:gridCol w:w="1236"/>
        <w:gridCol w:w="952"/>
        <w:gridCol w:w="1236"/>
      </w:tblGrid>
      <w:tr w:rsidR="00EB4A6D" w:rsidRPr="00EB4A6D" w:rsidTr="00EB4A6D">
        <w:trPr>
          <w:trHeight w:val="300"/>
        </w:trPr>
        <w:tc>
          <w:tcPr>
            <w:tcW w:w="5000" w:type="pct"/>
            <w:gridSpan w:val="8"/>
            <w:tcBorders>
              <w:top w:val="nil"/>
              <w:left w:val="nil"/>
              <w:bottom w:val="single" w:sz="4" w:space="0" w:color="auto"/>
              <w:right w:val="nil"/>
            </w:tcBorders>
            <w:shd w:val="clear" w:color="auto" w:fill="auto"/>
            <w:noWrap/>
            <w:vAlign w:val="bottom"/>
            <w:hideMark/>
          </w:tcPr>
          <w:p w:rsidR="00EB4A6D" w:rsidRPr="00EB4A6D" w:rsidRDefault="00EB4A6D" w:rsidP="00EB4A6D">
            <w:pPr>
              <w:rPr>
                <w:rFonts w:ascii="Calibri" w:hAnsi="Calibri" w:cs="Calibri"/>
                <w:color w:val="000000"/>
                <w:sz w:val="18"/>
                <w:szCs w:val="18"/>
              </w:rPr>
            </w:pPr>
            <w:r w:rsidRPr="00EB4A6D">
              <w:rPr>
                <w:rFonts w:ascii="Calibri" w:hAnsi="Calibri" w:cs="Calibri"/>
                <w:color w:val="000000"/>
                <w:sz w:val="18"/>
                <w:szCs w:val="18"/>
              </w:rPr>
              <w:lastRenderedPageBreak/>
              <w:t>Tabel 7. Befolkningsfremskrivning for perioderne 2020-2026 og 2020-2030.</w:t>
            </w:r>
          </w:p>
        </w:tc>
      </w:tr>
      <w:tr w:rsidR="00EB4A6D" w:rsidRPr="00EB4A6D" w:rsidTr="00EB4A6D">
        <w:trPr>
          <w:trHeight w:val="300"/>
        </w:trPr>
        <w:tc>
          <w:tcPr>
            <w:tcW w:w="720"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color w:val="000000"/>
                <w:sz w:val="18"/>
                <w:szCs w:val="18"/>
              </w:rPr>
            </w:pPr>
            <w:r w:rsidRPr="00EB4A6D">
              <w:rPr>
                <w:rFonts w:ascii="Calibri" w:hAnsi="Calibri" w:cs="Calibri"/>
                <w:color w:val="000000"/>
                <w:sz w:val="18"/>
                <w:szCs w:val="18"/>
              </w:rPr>
              <w:t> </w:t>
            </w:r>
          </w:p>
        </w:tc>
        <w:tc>
          <w:tcPr>
            <w:tcW w:w="598" w:type="pct"/>
            <w:tcBorders>
              <w:top w:val="nil"/>
              <w:left w:val="single" w:sz="4" w:space="0" w:color="auto"/>
              <w:bottom w:val="nil"/>
              <w:right w:val="single" w:sz="4" w:space="0" w:color="auto"/>
            </w:tcBorders>
            <w:shd w:val="clear" w:color="auto" w:fill="auto"/>
            <w:noWrap/>
            <w:vAlign w:val="bottom"/>
            <w:hideMark/>
          </w:tcPr>
          <w:p w:rsidR="00EB4A6D" w:rsidRPr="00EB4A6D" w:rsidRDefault="00EB4A6D" w:rsidP="00EB4A6D">
            <w:pPr>
              <w:rPr>
                <w:rFonts w:ascii="Calibri" w:hAnsi="Calibri" w:cs="Calibri"/>
                <w:color w:val="000000"/>
                <w:sz w:val="18"/>
                <w:szCs w:val="18"/>
              </w:rPr>
            </w:pPr>
            <w:r w:rsidRPr="00EB4A6D">
              <w:rPr>
                <w:rFonts w:ascii="Calibri" w:hAnsi="Calibri" w:cs="Calibri"/>
                <w:color w:val="000000"/>
                <w:sz w:val="18"/>
                <w:szCs w:val="18"/>
              </w:rPr>
              <w:t> </w:t>
            </w:r>
          </w:p>
        </w:tc>
        <w:tc>
          <w:tcPr>
            <w:tcW w:w="815" w:type="pct"/>
            <w:tcBorders>
              <w:top w:val="nil"/>
              <w:left w:val="nil"/>
              <w:bottom w:val="nil"/>
              <w:right w:val="nil"/>
            </w:tcBorders>
            <w:shd w:val="clear" w:color="auto" w:fill="auto"/>
            <w:noWrap/>
            <w:vAlign w:val="bottom"/>
            <w:hideMark/>
          </w:tcPr>
          <w:p w:rsidR="00EB4A6D" w:rsidRPr="00EB4A6D" w:rsidRDefault="00EB4A6D" w:rsidP="00EB4A6D">
            <w:pPr>
              <w:jc w:val="center"/>
              <w:rPr>
                <w:rFonts w:ascii="Calibri" w:hAnsi="Calibri" w:cs="Calibri"/>
                <w:b/>
                <w:bCs/>
                <w:color w:val="000000"/>
                <w:sz w:val="18"/>
                <w:szCs w:val="18"/>
              </w:rPr>
            </w:pPr>
            <w:r w:rsidRPr="00EB4A6D">
              <w:rPr>
                <w:rFonts w:ascii="Calibri" w:hAnsi="Calibri" w:cs="Calibri"/>
                <w:b/>
                <w:bCs/>
                <w:color w:val="000000"/>
                <w:sz w:val="18"/>
                <w:szCs w:val="18"/>
              </w:rPr>
              <w:t>Prognose</w:t>
            </w:r>
          </w:p>
        </w:tc>
        <w:tc>
          <w:tcPr>
            <w:tcW w:w="597"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center"/>
              <w:rPr>
                <w:rFonts w:ascii="Calibri" w:hAnsi="Calibri" w:cs="Calibri"/>
                <w:b/>
                <w:bCs/>
                <w:color w:val="000000"/>
                <w:sz w:val="18"/>
                <w:szCs w:val="18"/>
              </w:rPr>
            </w:pPr>
            <w:r w:rsidRPr="00EB4A6D">
              <w:rPr>
                <w:rFonts w:ascii="Calibri" w:hAnsi="Calibri" w:cs="Calibri"/>
                <w:b/>
                <w:bCs/>
                <w:color w:val="000000"/>
                <w:sz w:val="18"/>
                <w:szCs w:val="18"/>
              </w:rPr>
              <w:t> </w:t>
            </w:r>
          </w:p>
        </w:tc>
        <w:tc>
          <w:tcPr>
            <w:tcW w:w="1135" w:type="pct"/>
            <w:gridSpan w:val="2"/>
            <w:tcBorders>
              <w:top w:val="single" w:sz="4" w:space="0" w:color="auto"/>
              <w:left w:val="nil"/>
              <w:bottom w:val="nil"/>
              <w:right w:val="single" w:sz="4" w:space="0" w:color="000000"/>
            </w:tcBorders>
            <w:shd w:val="clear" w:color="auto" w:fill="auto"/>
            <w:noWrap/>
            <w:vAlign w:val="bottom"/>
            <w:hideMark/>
          </w:tcPr>
          <w:p w:rsidR="00EB4A6D" w:rsidRPr="00EB4A6D" w:rsidRDefault="00EB4A6D" w:rsidP="00EB4A6D">
            <w:pPr>
              <w:jc w:val="center"/>
              <w:rPr>
                <w:rFonts w:ascii="Calibri" w:hAnsi="Calibri" w:cs="Calibri"/>
                <w:b/>
                <w:bCs/>
                <w:color w:val="000000"/>
                <w:sz w:val="18"/>
                <w:szCs w:val="18"/>
              </w:rPr>
            </w:pPr>
            <w:r w:rsidRPr="00EB4A6D">
              <w:rPr>
                <w:rFonts w:ascii="Calibri" w:hAnsi="Calibri" w:cs="Calibri"/>
                <w:b/>
                <w:bCs/>
                <w:color w:val="000000"/>
                <w:sz w:val="18"/>
                <w:szCs w:val="18"/>
              </w:rPr>
              <w:t>Ændring fra 2020-2026</w:t>
            </w:r>
          </w:p>
        </w:tc>
        <w:tc>
          <w:tcPr>
            <w:tcW w:w="1135" w:type="pct"/>
            <w:gridSpan w:val="2"/>
            <w:tcBorders>
              <w:top w:val="single" w:sz="4" w:space="0" w:color="auto"/>
              <w:left w:val="nil"/>
              <w:bottom w:val="nil"/>
              <w:right w:val="nil"/>
            </w:tcBorders>
            <w:shd w:val="clear" w:color="auto" w:fill="auto"/>
            <w:noWrap/>
            <w:vAlign w:val="bottom"/>
            <w:hideMark/>
          </w:tcPr>
          <w:p w:rsidR="00EB4A6D" w:rsidRPr="00EB4A6D" w:rsidRDefault="00EB4A6D" w:rsidP="00EB4A6D">
            <w:pPr>
              <w:jc w:val="center"/>
              <w:rPr>
                <w:rFonts w:ascii="Calibri" w:hAnsi="Calibri" w:cs="Calibri"/>
                <w:b/>
                <w:bCs/>
                <w:color w:val="000000"/>
                <w:sz w:val="18"/>
                <w:szCs w:val="18"/>
              </w:rPr>
            </w:pPr>
            <w:r w:rsidRPr="00EB4A6D">
              <w:rPr>
                <w:rFonts w:ascii="Calibri" w:hAnsi="Calibri" w:cs="Calibri"/>
                <w:b/>
                <w:bCs/>
                <w:color w:val="000000"/>
                <w:sz w:val="18"/>
                <w:szCs w:val="18"/>
              </w:rPr>
              <w:t>Ændring fra 2020-2030</w:t>
            </w:r>
          </w:p>
        </w:tc>
      </w:tr>
      <w:tr w:rsidR="00EB4A6D" w:rsidRPr="00EB4A6D" w:rsidTr="00EB4A6D">
        <w:trPr>
          <w:trHeight w:val="300"/>
        </w:trPr>
        <w:tc>
          <w:tcPr>
            <w:tcW w:w="720" w:type="pct"/>
            <w:tcBorders>
              <w:top w:val="nil"/>
              <w:left w:val="nil"/>
              <w:bottom w:val="single" w:sz="4" w:space="0" w:color="auto"/>
              <w:right w:val="nil"/>
            </w:tcBorders>
            <w:shd w:val="clear" w:color="auto" w:fill="auto"/>
            <w:noWrap/>
            <w:vAlign w:val="bottom"/>
            <w:hideMark/>
          </w:tcPr>
          <w:p w:rsidR="00EB4A6D" w:rsidRPr="00EB4A6D" w:rsidRDefault="00EB4A6D" w:rsidP="00EB4A6D">
            <w:pPr>
              <w:rPr>
                <w:rFonts w:ascii="Calibri" w:hAnsi="Calibri" w:cs="Calibri"/>
                <w:color w:val="000000"/>
                <w:sz w:val="18"/>
                <w:szCs w:val="18"/>
              </w:rPr>
            </w:pPr>
            <w:r w:rsidRPr="00EB4A6D">
              <w:rPr>
                <w:rFonts w:ascii="Calibri" w:hAnsi="Calibri" w:cs="Calibri"/>
                <w:color w:val="000000"/>
                <w:sz w:val="18"/>
                <w:szCs w:val="18"/>
              </w:rPr>
              <w:t> </w:t>
            </w:r>
          </w:p>
        </w:tc>
        <w:tc>
          <w:tcPr>
            <w:tcW w:w="598" w:type="pct"/>
            <w:tcBorders>
              <w:top w:val="nil"/>
              <w:left w:val="single" w:sz="4" w:space="0" w:color="auto"/>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2020</w:t>
            </w:r>
          </w:p>
        </w:tc>
        <w:tc>
          <w:tcPr>
            <w:tcW w:w="815"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2026</w:t>
            </w:r>
          </w:p>
        </w:tc>
        <w:tc>
          <w:tcPr>
            <w:tcW w:w="597" w:type="pct"/>
            <w:tcBorders>
              <w:top w:val="nil"/>
              <w:left w:val="nil"/>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2030</w:t>
            </w:r>
          </w:p>
        </w:tc>
        <w:tc>
          <w:tcPr>
            <w:tcW w:w="494"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Antal</w:t>
            </w:r>
          </w:p>
        </w:tc>
        <w:tc>
          <w:tcPr>
            <w:tcW w:w="641" w:type="pct"/>
            <w:tcBorders>
              <w:top w:val="nil"/>
              <w:left w:val="nil"/>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w:t>
            </w:r>
          </w:p>
        </w:tc>
        <w:tc>
          <w:tcPr>
            <w:tcW w:w="494"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Antal</w:t>
            </w:r>
          </w:p>
        </w:tc>
        <w:tc>
          <w:tcPr>
            <w:tcW w:w="641" w:type="pct"/>
            <w:tcBorders>
              <w:top w:val="nil"/>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w:t>
            </w:r>
          </w:p>
        </w:tc>
      </w:tr>
      <w:tr w:rsidR="00EB4A6D" w:rsidRPr="00EB4A6D" w:rsidTr="00EB4A6D">
        <w:trPr>
          <w:trHeight w:val="300"/>
        </w:trPr>
        <w:tc>
          <w:tcPr>
            <w:tcW w:w="720"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0-5 år</w:t>
            </w:r>
          </w:p>
        </w:tc>
        <w:tc>
          <w:tcPr>
            <w:tcW w:w="598" w:type="pct"/>
            <w:tcBorders>
              <w:top w:val="nil"/>
              <w:left w:val="single" w:sz="4" w:space="0" w:color="auto"/>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2.464</w:t>
            </w:r>
          </w:p>
        </w:tc>
        <w:tc>
          <w:tcPr>
            <w:tcW w:w="815"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2.990</w:t>
            </w:r>
          </w:p>
        </w:tc>
        <w:tc>
          <w:tcPr>
            <w:tcW w:w="597"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2.937</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526</w:t>
            </w:r>
          </w:p>
        </w:tc>
        <w:tc>
          <w:tcPr>
            <w:tcW w:w="641"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21,35%</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473</w:t>
            </w:r>
          </w:p>
        </w:tc>
        <w:tc>
          <w:tcPr>
            <w:tcW w:w="641"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19,19%</w:t>
            </w:r>
          </w:p>
        </w:tc>
      </w:tr>
      <w:tr w:rsidR="00EB4A6D" w:rsidRPr="00EB4A6D" w:rsidTr="00EB4A6D">
        <w:trPr>
          <w:trHeight w:val="300"/>
        </w:trPr>
        <w:tc>
          <w:tcPr>
            <w:tcW w:w="720"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6-16 år</w:t>
            </w:r>
          </w:p>
        </w:tc>
        <w:tc>
          <w:tcPr>
            <w:tcW w:w="598" w:type="pct"/>
            <w:tcBorders>
              <w:top w:val="nil"/>
              <w:left w:val="single" w:sz="4" w:space="0" w:color="auto"/>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4.463</w:t>
            </w:r>
          </w:p>
        </w:tc>
        <w:tc>
          <w:tcPr>
            <w:tcW w:w="815"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4.851</w:t>
            </w:r>
          </w:p>
        </w:tc>
        <w:tc>
          <w:tcPr>
            <w:tcW w:w="597"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5.131</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388</w:t>
            </w:r>
          </w:p>
        </w:tc>
        <w:tc>
          <w:tcPr>
            <w:tcW w:w="641"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8,70%</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668</w:t>
            </w:r>
          </w:p>
        </w:tc>
        <w:tc>
          <w:tcPr>
            <w:tcW w:w="641"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14,96%</w:t>
            </w:r>
          </w:p>
        </w:tc>
      </w:tr>
      <w:tr w:rsidR="00EB4A6D" w:rsidRPr="00EB4A6D" w:rsidTr="00EB4A6D">
        <w:trPr>
          <w:trHeight w:val="300"/>
        </w:trPr>
        <w:tc>
          <w:tcPr>
            <w:tcW w:w="720"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17-66 år</w:t>
            </w:r>
          </w:p>
        </w:tc>
        <w:tc>
          <w:tcPr>
            <w:tcW w:w="598" w:type="pct"/>
            <w:tcBorders>
              <w:top w:val="nil"/>
              <w:left w:val="single" w:sz="4" w:space="0" w:color="auto"/>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22.122</w:t>
            </w:r>
          </w:p>
        </w:tc>
        <w:tc>
          <w:tcPr>
            <w:tcW w:w="815"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24.643</w:t>
            </w:r>
          </w:p>
        </w:tc>
        <w:tc>
          <w:tcPr>
            <w:tcW w:w="597"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24.184</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2.521</w:t>
            </w:r>
          </w:p>
        </w:tc>
        <w:tc>
          <w:tcPr>
            <w:tcW w:w="641"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11,40%</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2.062</w:t>
            </w:r>
          </w:p>
        </w:tc>
        <w:tc>
          <w:tcPr>
            <w:tcW w:w="641"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9,32%</w:t>
            </w:r>
          </w:p>
        </w:tc>
      </w:tr>
      <w:tr w:rsidR="00EB4A6D" w:rsidRPr="00EB4A6D" w:rsidTr="00EB4A6D">
        <w:trPr>
          <w:trHeight w:val="300"/>
        </w:trPr>
        <w:tc>
          <w:tcPr>
            <w:tcW w:w="720"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67-79 år</w:t>
            </w:r>
          </w:p>
        </w:tc>
        <w:tc>
          <w:tcPr>
            <w:tcW w:w="598" w:type="pct"/>
            <w:tcBorders>
              <w:top w:val="nil"/>
              <w:left w:val="single" w:sz="4" w:space="0" w:color="auto"/>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4.208</w:t>
            </w:r>
          </w:p>
        </w:tc>
        <w:tc>
          <w:tcPr>
            <w:tcW w:w="815"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4.535</w:t>
            </w:r>
          </w:p>
        </w:tc>
        <w:tc>
          <w:tcPr>
            <w:tcW w:w="597"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4.664</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327</w:t>
            </w:r>
          </w:p>
        </w:tc>
        <w:tc>
          <w:tcPr>
            <w:tcW w:w="641"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7,77%</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456</w:t>
            </w:r>
          </w:p>
        </w:tc>
        <w:tc>
          <w:tcPr>
            <w:tcW w:w="641"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10,84%</w:t>
            </w:r>
          </w:p>
        </w:tc>
      </w:tr>
      <w:tr w:rsidR="00EB4A6D" w:rsidRPr="00EB4A6D" w:rsidTr="00EB4A6D">
        <w:trPr>
          <w:trHeight w:val="300"/>
        </w:trPr>
        <w:tc>
          <w:tcPr>
            <w:tcW w:w="720" w:type="pct"/>
            <w:tcBorders>
              <w:top w:val="nil"/>
              <w:left w:val="nil"/>
              <w:bottom w:val="nil"/>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+80 år</w:t>
            </w:r>
          </w:p>
        </w:tc>
        <w:tc>
          <w:tcPr>
            <w:tcW w:w="598" w:type="pct"/>
            <w:tcBorders>
              <w:top w:val="nil"/>
              <w:left w:val="single" w:sz="4" w:space="0" w:color="auto"/>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1.837</w:t>
            </w:r>
          </w:p>
        </w:tc>
        <w:tc>
          <w:tcPr>
            <w:tcW w:w="815"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2.036</w:t>
            </w:r>
          </w:p>
        </w:tc>
        <w:tc>
          <w:tcPr>
            <w:tcW w:w="597"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2.260</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199</w:t>
            </w:r>
          </w:p>
        </w:tc>
        <w:tc>
          <w:tcPr>
            <w:tcW w:w="641" w:type="pct"/>
            <w:tcBorders>
              <w:top w:val="nil"/>
              <w:left w:val="nil"/>
              <w:bottom w:val="nil"/>
              <w:right w:val="single" w:sz="4" w:space="0" w:color="auto"/>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10,85%</w:t>
            </w:r>
          </w:p>
        </w:tc>
        <w:tc>
          <w:tcPr>
            <w:tcW w:w="494"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423</w:t>
            </w:r>
          </w:p>
        </w:tc>
        <w:tc>
          <w:tcPr>
            <w:tcW w:w="641" w:type="pct"/>
            <w:tcBorders>
              <w:top w:val="nil"/>
              <w:left w:val="nil"/>
              <w:bottom w:val="nil"/>
              <w:right w:val="nil"/>
            </w:tcBorders>
            <w:shd w:val="clear" w:color="auto" w:fill="auto"/>
            <w:noWrap/>
            <w:vAlign w:val="bottom"/>
            <w:hideMark/>
          </w:tcPr>
          <w:p w:rsidR="00EB4A6D" w:rsidRPr="00EB4A6D" w:rsidRDefault="00EB4A6D" w:rsidP="00EB4A6D">
            <w:pPr>
              <w:jc w:val="right"/>
              <w:rPr>
                <w:rFonts w:ascii="Calibri" w:hAnsi="Calibri" w:cs="Calibri"/>
                <w:color w:val="000000"/>
                <w:sz w:val="18"/>
                <w:szCs w:val="18"/>
              </w:rPr>
            </w:pPr>
            <w:r w:rsidRPr="00EB4A6D">
              <w:rPr>
                <w:rFonts w:ascii="Calibri" w:hAnsi="Calibri" w:cs="Calibri"/>
                <w:color w:val="000000"/>
                <w:sz w:val="18"/>
                <w:szCs w:val="18"/>
              </w:rPr>
              <w:t>23,04%</w:t>
            </w:r>
          </w:p>
        </w:tc>
      </w:tr>
      <w:tr w:rsidR="00EB4A6D" w:rsidRPr="00EB4A6D" w:rsidTr="00EB4A6D">
        <w:trPr>
          <w:trHeight w:val="300"/>
        </w:trPr>
        <w:tc>
          <w:tcPr>
            <w:tcW w:w="720" w:type="pct"/>
            <w:tcBorders>
              <w:top w:val="single" w:sz="4" w:space="0" w:color="auto"/>
              <w:left w:val="nil"/>
              <w:bottom w:val="single" w:sz="4" w:space="0" w:color="auto"/>
              <w:right w:val="nil"/>
            </w:tcBorders>
            <w:shd w:val="clear" w:color="auto" w:fill="auto"/>
            <w:noWrap/>
            <w:vAlign w:val="bottom"/>
            <w:hideMark/>
          </w:tcPr>
          <w:p w:rsidR="00EB4A6D" w:rsidRPr="00EB4A6D" w:rsidRDefault="00EB4A6D" w:rsidP="00EB4A6D">
            <w:pPr>
              <w:rPr>
                <w:rFonts w:ascii="Calibri" w:hAnsi="Calibri" w:cs="Calibri"/>
                <w:b/>
                <w:bCs/>
                <w:color w:val="000000"/>
                <w:sz w:val="18"/>
                <w:szCs w:val="18"/>
              </w:rPr>
            </w:pPr>
            <w:r w:rsidRPr="00EB4A6D">
              <w:rPr>
                <w:rFonts w:ascii="Calibri" w:hAnsi="Calibri" w:cs="Calibri"/>
                <w:b/>
                <w:bCs/>
                <w:color w:val="000000"/>
                <w:sz w:val="18"/>
                <w:szCs w:val="18"/>
              </w:rPr>
              <w:t>I alt</w:t>
            </w:r>
          </w:p>
        </w:tc>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35.094</w:t>
            </w:r>
          </w:p>
        </w:tc>
        <w:tc>
          <w:tcPr>
            <w:tcW w:w="815" w:type="pct"/>
            <w:tcBorders>
              <w:top w:val="single" w:sz="4" w:space="0" w:color="auto"/>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39.055</w:t>
            </w:r>
          </w:p>
        </w:tc>
        <w:tc>
          <w:tcPr>
            <w:tcW w:w="597" w:type="pct"/>
            <w:tcBorders>
              <w:top w:val="single" w:sz="4" w:space="0" w:color="auto"/>
              <w:left w:val="nil"/>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39.175</w:t>
            </w:r>
          </w:p>
        </w:tc>
        <w:tc>
          <w:tcPr>
            <w:tcW w:w="494" w:type="pct"/>
            <w:tcBorders>
              <w:top w:val="single" w:sz="4" w:space="0" w:color="auto"/>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3.961</w:t>
            </w:r>
          </w:p>
        </w:tc>
        <w:tc>
          <w:tcPr>
            <w:tcW w:w="641" w:type="pct"/>
            <w:tcBorders>
              <w:top w:val="single" w:sz="4" w:space="0" w:color="auto"/>
              <w:left w:val="nil"/>
              <w:bottom w:val="single" w:sz="4" w:space="0" w:color="auto"/>
              <w:right w:val="single" w:sz="4" w:space="0" w:color="auto"/>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11,29%</w:t>
            </w:r>
          </w:p>
        </w:tc>
        <w:tc>
          <w:tcPr>
            <w:tcW w:w="494" w:type="pct"/>
            <w:tcBorders>
              <w:top w:val="single" w:sz="4" w:space="0" w:color="auto"/>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4.081</w:t>
            </w:r>
          </w:p>
        </w:tc>
        <w:tc>
          <w:tcPr>
            <w:tcW w:w="641" w:type="pct"/>
            <w:tcBorders>
              <w:top w:val="single" w:sz="4" w:space="0" w:color="auto"/>
              <w:left w:val="nil"/>
              <w:bottom w:val="single" w:sz="4" w:space="0" w:color="auto"/>
              <w:right w:val="nil"/>
            </w:tcBorders>
            <w:shd w:val="clear" w:color="auto" w:fill="auto"/>
            <w:noWrap/>
            <w:vAlign w:val="bottom"/>
            <w:hideMark/>
          </w:tcPr>
          <w:p w:rsidR="00EB4A6D" w:rsidRPr="00EB4A6D" w:rsidRDefault="00EB4A6D" w:rsidP="00EB4A6D">
            <w:pPr>
              <w:jc w:val="right"/>
              <w:rPr>
                <w:rFonts w:ascii="Calibri" w:hAnsi="Calibri" w:cs="Calibri"/>
                <w:b/>
                <w:bCs/>
                <w:color w:val="000000"/>
                <w:sz w:val="18"/>
                <w:szCs w:val="18"/>
              </w:rPr>
            </w:pPr>
            <w:r w:rsidRPr="00EB4A6D">
              <w:rPr>
                <w:rFonts w:ascii="Calibri" w:hAnsi="Calibri" w:cs="Calibri"/>
                <w:b/>
                <w:bCs/>
                <w:color w:val="000000"/>
                <w:sz w:val="18"/>
                <w:szCs w:val="18"/>
              </w:rPr>
              <w:t>11,63%</w:t>
            </w:r>
          </w:p>
        </w:tc>
      </w:tr>
    </w:tbl>
    <w:p w:rsidR="006D04C4" w:rsidRPr="009A7C29" w:rsidRDefault="006D04C4" w:rsidP="006D04C4"/>
    <w:p w:rsidR="006D04C4" w:rsidRPr="005E2359" w:rsidRDefault="006D04C4" w:rsidP="006D04C4">
      <w:r w:rsidRPr="009D5A9D">
        <w:t>Det samlede befolkningstal</w:t>
      </w:r>
      <w:r w:rsidR="001C7412" w:rsidRPr="009D5A9D">
        <w:t xml:space="preserve"> (primo) stiger med 11,3 pct. fra 2020</w:t>
      </w:r>
      <w:r w:rsidRPr="009D5A9D">
        <w:t>-202</w:t>
      </w:r>
      <w:r w:rsidR="001C7412" w:rsidRPr="009D5A9D">
        <w:t>6, mens stigningen i perioden 2020-2030 udgør 11,6</w:t>
      </w:r>
      <w:r w:rsidRPr="009D5A9D">
        <w:t xml:space="preserve"> pct. Der er altså tale om en stigning i</w:t>
      </w:r>
      <w:r w:rsidR="001C7412" w:rsidRPr="009D5A9D">
        <w:t xml:space="preserve"> det samlede befolkningstal,</w:t>
      </w:r>
      <w:r w:rsidRPr="009D5A9D">
        <w:t xml:space="preserve"> hvor st</w:t>
      </w:r>
      <w:r w:rsidR="001C7412" w:rsidRPr="009D5A9D">
        <w:t xml:space="preserve">igningstakten også bevares i </w:t>
      </w:r>
      <w:r w:rsidRPr="009D5A9D">
        <w:t>den sidste del af prognoseperioden</w:t>
      </w:r>
      <w:r w:rsidR="00504F35" w:rsidRPr="009D5A9D">
        <w:t>.</w:t>
      </w:r>
      <w:r>
        <w:t xml:space="preserve"> </w:t>
      </w:r>
      <w:r w:rsidR="009D5A9D">
        <w:t>Dette skyldes hovedsagligt boligprogrammet.</w:t>
      </w:r>
    </w:p>
    <w:p w:rsidR="006D04C4" w:rsidRPr="009A4C4B" w:rsidRDefault="006D04C4" w:rsidP="006D04C4">
      <w:pPr>
        <w:pStyle w:val="Overskrift3"/>
        <w:numPr>
          <w:ilvl w:val="2"/>
          <w:numId w:val="5"/>
        </w:numPr>
        <w:tabs>
          <w:tab w:val="clear" w:pos="720"/>
        </w:tabs>
      </w:pPr>
      <w:bookmarkStart w:id="20" w:name="_Toc38356007"/>
      <w:r w:rsidRPr="009A4C4B">
        <w:t>Forskydninger mellem aldersgrupperne</w:t>
      </w:r>
      <w:bookmarkEnd w:id="20"/>
    </w:p>
    <w:p w:rsidR="006D04C4" w:rsidRPr="009D5A9D" w:rsidRDefault="006D04C4" w:rsidP="006D04C4">
      <w:r w:rsidRPr="009D5A9D">
        <w:t xml:space="preserve">Figur 9 nedenfor viser en illustration af befolkningssammensætningen henholdsvis </w:t>
      </w:r>
      <w:r w:rsidR="009D5A9D" w:rsidRPr="009D5A9D">
        <w:t>1. januar 2020 og 1. januar 2030</w:t>
      </w:r>
      <w:r w:rsidRPr="009D5A9D">
        <w:t>. Den grå skravering er b</w:t>
      </w:r>
      <w:r w:rsidR="008B6E0A" w:rsidRPr="009D5A9D">
        <w:t>efolkningssamm</w:t>
      </w:r>
      <w:r w:rsidR="009D5A9D" w:rsidRPr="009D5A9D">
        <w:t>ensætningen i 2020</w:t>
      </w:r>
      <w:r w:rsidRPr="009D5A9D">
        <w:t>, mens den blå kurve er befolkningssammensætn</w:t>
      </w:r>
      <w:r w:rsidR="009D5A9D" w:rsidRPr="009D5A9D">
        <w:t>ingen i 2030</w:t>
      </w:r>
      <w:r w:rsidRPr="009D5A9D">
        <w:t xml:space="preserve">. </w:t>
      </w:r>
    </w:p>
    <w:p w:rsidR="006D04C4" w:rsidRPr="009D5A9D" w:rsidRDefault="006D04C4" w:rsidP="006D04C4"/>
    <w:p w:rsidR="006D04C4" w:rsidRPr="00E4774D" w:rsidRDefault="006D04C4" w:rsidP="006D04C4">
      <w:r w:rsidRPr="009D5A9D">
        <w:t>Som det fremgår af figuren, er det overordnede billede, at der forventes en stigning i næsten alle aldersgrupper. Stigningerne gælder således både børn, erhvervsaktive og de ældre aldersgrupper med nogle mindre dyk for nogle specifikke aldersgr</w:t>
      </w:r>
      <w:r w:rsidR="009D5A9D" w:rsidRPr="009D5A9D">
        <w:t>upper i sammenligningen med 2020 og 2030</w:t>
      </w:r>
      <w:r w:rsidRPr="009D5A9D">
        <w:t>.</w:t>
      </w:r>
      <w:r w:rsidR="008B6E0A" w:rsidRPr="009D5A9D">
        <w:t xml:space="preserve"> Det er især 0-16 årige og de erhvervsaktive samt den helt ældre del af befolkningen hvor den største stigning forventes og som de foregående tabeller også illustrerer.</w:t>
      </w:r>
      <w:r w:rsidR="008B6E0A">
        <w:t xml:space="preserve"> </w:t>
      </w:r>
    </w:p>
    <w:p w:rsidR="006D04C4" w:rsidRPr="00D30D29" w:rsidRDefault="006D04C4" w:rsidP="006D04C4">
      <w:pPr>
        <w:rPr>
          <w:highlight w:val="yellow"/>
        </w:rPr>
      </w:pPr>
    </w:p>
    <w:p w:rsidR="006D04C4" w:rsidRPr="008B6E0A" w:rsidRDefault="006D04C4" w:rsidP="008B6E0A">
      <w:pPr>
        <w:pStyle w:val="Billedtekst"/>
        <w:jc w:val="left"/>
      </w:pPr>
      <w:r w:rsidRPr="007B3BB7">
        <w:rPr>
          <w:b/>
        </w:rPr>
        <w:t xml:space="preserve">Figur </w:t>
      </w:r>
      <w:r w:rsidRPr="007B3BB7">
        <w:rPr>
          <w:b/>
        </w:rPr>
        <w:fldChar w:fldCharType="begin"/>
      </w:r>
      <w:r w:rsidRPr="007B3BB7">
        <w:rPr>
          <w:b/>
        </w:rPr>
        <w:instrText xml:space="preserve"> SEQ Figur \* ARABIC </w:instrText>
      </w:r>
      <w:r w:rsidRPr="007B3BB7">
        <w:rPr>
          <w:b/>
        </w:rPr>
        <w:fldChar w:fldCharType="separate"/>
      </w:r>
      <w:r w:rsidR="00313F67">
        <w:rPr>
          <w:b/>
          <w:noProof/>
        </w:rPr>
        <w:t>8</w:t>
      </w:r>
      <w:r w:rsidRPr="007B3BB7">
        <w:rPr>
          <w:b/>
        </w:rPr>
        <w:fldChar w:fldCharType="end"/>
      </w:r>
      <w:r w:rsidRPr="007B3BB7">
        <w:rPr>
          <w:b/>
        </w:rPr>
        <w:t>.</w:t>
      </w:r>
      <w:r w:rsidR="00870F3F">
        <w:t xml:space="preserve"> Befolkningssammensætning i 2020</w:t>
      </w:r>
      <w:r w:rsidRPr="007B3BB7">
        <w:t xml:space="preserve"> sammenholdt med fremskrevet</w:t>
      </w:r>
      <w:r w:rsidR="00870F3F">
        <w:t xml:space="preserve"> befolkningssammensætning i 2030. </w:t>
      </w:r>
      <w:r w:rsidRPr="007B3BB7">
        <w:rPr>
          <w:noProof/>
          <w:szCs w:val="18"/>
        </w:rPr>
        <w:t>Kilde: DemoGrafix, egne beregninger.</w:t>
      </w:r>
    </w:p>
    <w:p w:rsidR="006D04C4" w:rsidRPr="00D30D29" w:rsidRDefault="00870F3F" w:rsidP="006D04C4">
      <w:pPr>
        <w:rPr>
          <w:rFonts w:ascii="Calibri" w:hAnsi="Calibri" w:cs="Calibri"/>
          <w:noProof/>
          <w:sz w:val="18"/>
          <w:szCs w:val="18"/>
          <w:highlight w:val="yellow"/>
        </w:rPr>
      </w:pPr>
      <w:r>
        <w:rPr>
          <w:noProof/>
        </w:rPr>
        <w:lastRenderedPageBreak/>
        <w:drawing>
          <wp:inline distT="0" distB="0" distL="0" distR="0" wp14:anchorId="72419396" wp14:editId="7FF24B80">
            <wp:extent cx="6120765" cy="3939540"/>
            <wp:effectExtent l="0" t="0" r="0" b="381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D04C4" w:rsidRPr="009D5A9D" w:rsidRDefault="006D04C4" w:rsidP="006D04C4">
      <w:pPr>
        <w:rPr>
          <w:noProof/>
        </w:rPr>
      </w:pPr>
      <w:r w:rsidRPr="009D5A9D">
        <w:rPr>
          <w:noProof/>
        </w:rPr>
        <w:t>Tabel 8 nedenfor illustrerer ligeledes forskydninger</w:t>
      </w:r>
      <w:r w:rsidR="008B6E0A" w:rsidRPr="009D5A9D">
        <w:rPr>
          <w:noProof/>
        </w:rPr>
        <w:t xml:space="preserve"> mellem aldersgr</w:t>
      </w:r>
      <w:r w:rsidR="009D5A9D" w:rsidRPr="009D5A9D">
        <w:rPr>
          <w:noProof/>
        </w:rPr>
        <w:t>upperne fra 2020</w:t>
      </w:r>
      <w:r w:rsidRPr="009D5A9D">
        <w:rPr>
          <w:noProof/>
        </w:rPr>
        <w:t xml:space="preserve"> til </w:t>
      </w:r>
      <w:r w:rsidR="009D5A9D" w:rsidRPr="009D5A9D">
        <w:rPr>
          <w:noProof/>
        </w:rPr>
        <w:t>henholdsvis 2026 og 2030</w:t>
      </w:r>
      <w:r w:rsidRPr="009D5A9D">
        <w:rPr>
          <w:noProof/>
        </w:rPr>
        <w:t xml:space="preserve"> målt i forhold til hvor meget aldersgruppen udgør af det samlede befolkningstal i disse prognoseår.</w:t>
      </w:r>
    </w:p>
    <w:p w:rsidR="006D04C4" w:rsidRPr="009D5A9D" w:rsidRDefault="006D04C4" w:rsidP="006D04C4">
      <w:pPr>
        <w:rPr>
          <w:noProof/>
        </w:rPr>
      </w:pPr>
    </w:p>
    <w:p w:rsidR="008B6E0A" w:rsidRPr="009D5A9D" w:rsidRDefault="008B6E0A" w:rsidP="006D04C4">
      <w:pPr>
        <w:rPr>
          <w:noProof/>
        </w:rPr>
      </w:pPr>
      <w:r w:rsidRPr="009D5A9D">
        <w:rPr>
          <w:noProof/>
        </w:rPr>
        <w:t>Det tyder på en nogenlunde konstant udvikli</w:t>
      </w:r>
      <w:r w:rsidR="009D5A9D" w:rsidRPr="009D5A9D">
        <w:rPr>
          <w:noProof/>
        </w:rPr>
        <w:t>ng når der ses på andelen i 2020 sammenholdt med andelen i 2030</w:t>
      </w:r>
      <w:r w:rsidRPr="009D5A9D">
        <w:rPr>
          <w:noProof/>
        </w:rPr>
        <w:t xml:space="preserve">. </w:t>
      </w:r>
    </w:p>
    <w:p w:rsidR="0073442B" w:rsidRPr="009D5A9D" w:rsidRDefault="0073442B" w:rsidP="006D04C4">
      <w:pPr>
        <w:rPr>
          <w:noProof/>
        </w:rPr>
      </w:pPr>
    </w:p>
    <w:p w:rsidR="006D04C4" w:rsidRDefault="006D04C4" w:rsidP="006D04C4">
      <w:pPr>
        <w:rPr>
          <w:noProof/>
        </w:rPr>
      </w:pPr>
      <w:r w:rsidRPr="009D5A9D">
        <w:rPr>
          <w:noProof/>
        </w:rPr>
        <w:t xml:space="preserve">Det fremgår af figuren, at andelen af de erhvervsaktive (17-66 år) </w:t>
      </w:r>
      <w:r w:rsidR="009D5A9D" w:rsidRPr="009D5A9D">
        <w:rPr>
          <w:noProof/>
        </w:rPr>
        <w:t>og andelen af småbørn (0-5 år) vil være svagt faldende, mens andelen af</w:t>
      </w:r>
      <w:r w:rsidRPr="009D5A9D">
        <w:rPr>
          <w:noProof/>
        </w:rPr>
        <w:t xml:space="preserve"> skolebørn (6-16 år) vil være svagt stigende. Andelen af ældre over 67 år vil samlet set være på nogenl</w:t>
      </w:r>
      <w:r w:rsidR="008B6E0A" w:rsidRPr="009D5A9D">
        <w:rPr>
          <w:noProof/>
        </w:rPr>
        <w:t>unde samme niveau i perioden mens aldersgruppen +80 årige</w:t>
      </w:r>
      <w:r w:rsidR="00C55A96" w:rsidRPr="009D5A9D">
        <w:rPr>
          <w:noProof/>
        </w:rPr>
        <w:t xml:space="preserve"> udviser en mindre stigning</w:t>
      </w:r>
      <w:r w:rsidRPr="009D5A9D">
        <w:rPr>
          <w:noProof/>
        </w:rPr>
        <w:t>.</w:t>
      </w:r>
      <w:r w:rsidRPr="0039494C">
        <w:rPr>
          <w:noProof/>
        </w:rPr>
        <w:t xml:space="preserve"> </w:t>
      </w:r>
    </w:p>
    <w:p w:rsidR="00554C7D" w:rsidRPr="00554C7D" w:rsidRDefault="00554C7D" w:rsidP="00554C7D"/>
    <w:tbl>
      <w:tblPr>
        <w:tblW w:w="5000" w:type="pct"/>
        <w:tblCellMar>
          <w:left w:w="70" w:type="dxa"/>
          <w:right w:w="70" w:type="dxa"/>
        </w:tblCellMar>
        <w:tblLook w:val="04A0" w:firstRow="1" w:lastRow="0" w:firstColumn="1" w:lastColumn="0" w:noHBand="0" w:noVBand="1"/>
      </w:tblPr>
      <w:tblGrid>
        <w:gridCol w:w="3335"/>
        <w:gridCol w:w="2051"/>
        <w:gridCol w:w="2427"/>
        <w:gridCol w:w="1826"/>
      </w:tblGrid>
      <w:tr w:rsidR="00870F3F" w:rsidRPr="00870F3F" w:rsidTr="00870F3F">
        <w:trPr>
          <w:trHeight w:val="300"/>
        </w:trPr>
        <w:tc>
          <w:tcPr>
            <w:tcW w:w="5000" w:type="pct"/>
            <w:gridSpan w:val="4"/>
            <w:tcBorders>
              <w:top w:val="nil"/>
              <w:left w:val="nil"/>
              <w:bottom w:val="single" w:sz="4" w:space="0" w:color="auto"/>
              <w:right w:val="nil"/>
            </w:tcBorders>
            <w:shd w:val="clear" w:color="auto" w:fill="auto"/>
            <w:noWrap/>
            <w:vAlign w:val="bottom"/>
            <w:hideMark/>
          </w:tcPr>
          <w:p w:rsidR="00870F3F" w:rsidRPr="00870F3F" w:rsidRDefault="00870F3F" w:rsidP="00870F3F">
            <w:pPr>
              <w:rPr>
                <w:rFonts w:ascii="Calibri" w:hAnsi="Calibri" w:cs="Calibri"/>
                <w:color w:val="000000"/>
                <w:sz w:val="18"/>
                <w:szCs w:val="18"/>
              </w:rPr>
            </w:pPr>
            <w:r w:rsidRPr="00870F3F">
              <w:rPr>
                <w:rFonts w:ascii="Calibri" w:hAnsi="Calibri" w:cs="Calibri"/>
                <w:color w:val="000000"/>
                <w:sz w:val="18"/>
                <w:szCs w:val="18"/>
              </w:rPr>
              <w:t>Tabel 8. Befolkningssammensætning i 2020 sammenholdt med fremskrevet befolkningssammensætning i 2026 og 2030</w:t>
            </w:r>
          </w:p>
        </w:tc>
      </w:tr>
      <w:tr w:rsidR="00870F3F" w:rsidRPr="00870F3F" w:rsidTr="009A7C29">
        <w:trPr>
          <w:trHeight w:val="300"/>
        </w:trPr>
        <w:tc>
          <w:tcPr>
            <w:tcW w:w="1730" w:type="pct"/>
            <w:vMerge w:val="restart"/>
            <w:tcBorders>
              <w:top w:val="nil"/>
              <w:left w:val="nil"/>
              <w:bottom w:val="single" w:sz="4" w:space="0" w:color="000000"/>
              <w:right w:val="single" w:sz="4" w:space="0" w:color="auto"/>
            </w:tcBorders>
            <w:shd w:val="clear" w:color="auto" w:fill="auto"/>
            <w:noWrap/>
            <w:hideMark/>
          </w:tcPr>
          <w:p w:rsidR="00870F3F" w:rsidRPr="00870F3F" w:rsidRDefault="00870F3F" w:rsidP="00870F3F">
            <w:pPr>
              <w:rPr>
                <w:rFonts w:ascii="Calibri" w:hAnsi="Calibri" w:cs="Calibri"/>
                <w:b/>
                <w:bCs/>
                <w:color w:val="000000"/>
                <w:sz w:val="18"/>
                <w:szCs w:val="18"/>
              </w:rPr>
            </w:pPr>
            <w:r w:rsidRPr="00870F3F">
              <w:rPr>
                <w:rFonts w:ascii="Calibri" w:hAnsi="Calibri" w:cs="Calibri"/>
                <w:b/>
                <w:bCs/>
                <w:color w:val="000000"/>
                <w:sz w:val="18"/>
                <w:szCs w:val="18"/>
              </w:rPr>
              <w:t>Aldersgruppe</w:t>
            </w:r>
          </w:p>
        </w:tc>
        <w:tc>
          <w:tcPr>
            <w:tcW w:w="1064" w:type="pct"/>
            <w:tcBorders>
              <w:top w:val="nil"/>
              <w:left w:val="nil"/>
              <w:bottom w:val="nil"/>
              <w:right w:val="single" w:sz="4" w:space="0" w:color="auto"/>
            </w:tcBorders>
            <w:shd w:val="clear" w:color="auto" w:fill="auto"/>
            <w:noWrap/>
            <w:vAlign w:val="bottom"/>
            <w:hideMark/>
          </w:tcPr>
          <w:p w:rsidR="00870F3F" w:rsidRPr="00870F3F" w:rsidRDefault="00870F3F" w:rsidP="00870F3F">
            <w:pPr>
              <w:jc w:val="center"/>
              <w:rPr>
                <w:rFonts w:ascii="Calibri" w:hAnsi="Calibri" w:cs="Calibri"/>
                <w:b/>
                <w:bCs/>
                <w:color w:val="000000"/>
                <w:sz w:val="18"/>
                <w:szCs w:val="18"/>
              </w:rPr>
            </w:pPr>
            <w:r w:rsidRPr="00870F3F">
              <w:rPr>
                <w:rFonts w:ascii="Calibri" w:hAnsi="Calibri" w:cs="Calibri"/>
                <w:b/>
                <w:bCs/>
                <w:color w:val="000000"/>
                <w:sz w:val="18"/>
                <w:szCs w:val="18"/>
              </w:rPr>
              <w:t>Udgangsår</w:t>
            </w:r>
          </w:p>
        </w:tc>
        <w:tc>
          <w:tcPr>
            <w:tcW w:w="2206" w:type="pct"/>
            <w:gridSpan w:val="2"/>
            <w:tcBorders>
              <w:top w:val="single" w:sz="4" w:space="0" w:color="auto"/>
              <w:left w:val="nil"/>
              <w:bottom w:val="nil"/>
              <w:right w:val="nil"/>
            </w:tcBorders>
            <w:shd w:val="clear" w:color="auto" w:fill="auto"/>
            <w:noWrap/>
            <w:vAlign w:val="bottom"/>
            <w:hideMark/>
          </w:tcPr>
          <w:p w:rsidR="00870F3F" w:rsidRPr="00870F3F" w:rsidRDefault="00870F3F" w:rsidP="00870F3F">
            <w:pPr>
              <w:jc w:val="center"/>
              <w:rPr>
                <w:rFonts w:ascii="Calibri" w:hAnsi="Calibri" w:cs="Calibri"/>
                <w:b/>
                <w:bCs/>
                <w:color w:val="000000"/>
                <w:sz w:val="18"/>
                <w:szCs w:val="18"/>
              </w:rPr>
            </w:pPr>
            <w:r w:rsidRPr="00870F3F">
              <w:rPr>
                <w:rFonts w:ascii="Calibri" w:hAnsi="Calibri" w:cs="Calibri"/>
                <w:b/>
                <w:bCs/>
                <w:color w:val="000000"/>
                <w:sz w:val="18"/>
                <w:szCs w:val="18"/>
              </w:rPr>
              <w:t>Prognose</w:t>
            </w:r>
          </w:p>
        </w:tc>
      </w:tr>
      <w:tr w:rsidR="00870F3F" w:rsidRPr="00870F3F" w:rsidTr="009A7C29">
        <w:trPr>
          <w:trHeight w:val="300"/>
        </w:trPr>
        <w:tc>
          <w:tcPr>
            <w:tcW w:w="1730" w:type="pct"/>
            <w:vMerge/>
            <w:tcBorders>
              <w:top w:val="nil"/>
              <w:left w:val="nil"/>
              <w:bottom w:val="single" w:sz="4" w:space="0" w:color="000000"/>
              <w:right w:val="single" w:sz="4" w:space="0" w:color="auto"/>
            </w:tcBorders>
            <w:vAlign w:val="center"/>
            <w:hideMark/>
          </w:tcPr>
          <w:p w:rsidR="00870F3F" w:rsidRPr="00870F3F" w:rsidRDefault="00870F3F" w:rsidP="00870F3F">
            <w:pPr>
              <w:rPr>
                <w:rFonts w:ascii="Calibri" w:hAnsi="Calibri" w:cs="Calibri"/>
                <w:b/>
                <w:bCs/>
                <w:color w:val="000000"/>
                <w:sz w:val="18"/>
                <w:szCs w:val="18"/>
              </w:rPr>
            </w:pPr>
          </w:p>
        </w:tc>
        <w:tc>
          <w:tcPr>
            <w:tcW w:w="1064" w:type="pct"/>
            <w:tcBorders>
              <w:top w:val="nil"/>
              <w:left w:val="nil"/>
              <w:bottom w:val="single" w:sz="4" w:space="0" w:color="auto"/>
              <w:right w:val="single" w:sz="4" w:space="0" w:color="auto"/>
            </w:tcBorders>
            <w:shd w:val="clear" w:color="auto" w:fill="auto"/>
            <w:noWrap/>
            <w:vAlign w:val="bottom"/>
            <w:hideMark/>
          </w:tcPr>
          <w:p w:rsidR="00870F3F" w:rsidRPr="00870F3F" w:rsidRDefault="00870F3F" w:rsidP="009A7C29">
            <w:pPr>
              <w:jc w:val="center"/>
              <w:rPr>
                <w:rFonts w:ascii="Calibri" w:hAnsi="Calibri" w:cs="Calibri"/>
                <w:b/>
                <w:bCs/>
                <w:color w:val="000000"/>
                <w:sz w:val="18"/>
                <w:szCs w:val="18"/>
              </w:rPr>
            </w:pPr>
            <w:r w:rsidRPr="00870F3F">
              <w:rPr>
                <w:rFonts w:ascii="Calibri" w:hAnsi="Calibri" w:cs="Calibri"/>
                <w:b/>
                <w:bCs/>
                <w:color w:val="000000"/>
                <w:sz w:val="18"/>
                <w:szCs w:val="18"/>
              </w:rPr>
              <w:t>2020</w:t>
            </w:r>
          </w:p>
        </w:tc>
        <w:tc>
          <w:tcPr>
            <w:tcW w:w="1259" w:type="pct"/>
            <w:tcBorders>
              <w:top w:val="nil"/>
              <w:left w:val="nil"/>
              <w:bottom w:val="single" w:sz="4" w:space="0" w:color="auto"/>
              <w:right w:val="nil"/>
            </w:tcBorders>
            <w:shd w:val="clear" w:color="auto" w:fill="auto"/>
            <w:noWrap/>
            <w:vAlign w:val="bottom"/>
            <w:hideMark/>
          </w:tcPr>
          <w:p w:rsidR="00870F3F" w:rsidRPr="00870F3F" w:rsidRDefault="00870F3F" w:rsidP="00870F3F">
            <w:pPr>
              <w:jc w:val="right"/>
              <w:rPr>
                <w:rFonts w:ascii="Calibri" w:hAnsi="Calibri" w:cs="Calibri"/>
                <w:b/>
                <w:bCs/>
                <w:color w:val="000000"/>
                <w:sz w:val="18"/>
                <w:szCs w:val="18"/>
              </w:rPr>
            </w:pPr>
            <w:r w:rsidRPr="00870F3F">
              <w:rPr>
                <w:rFonts w:ascii="Calibri" w:hAnsi="Calibri" w:cs="Calibri"/>
                <w:b/>
                <w:bCs/>
                <w:color w:val="000000"/>
                <w:sz w:val="18"/>
                <w:szCs w:val="18"/>
              </w:rPr>
              <w:t>2026</w:t>
            </w:r>
          </w:p>
        </w:tc>
        <w:tc>
          <w:tcPr>
            <w:tcW w:w="946" w:type="pct"/>
            <w:tcBorders>
              <w:top w:val="nil"/>
              <w:left w:val="nil"/>
              <w:bottom w:val="single" w:sz="4" w:space="0" w:color="auto"/>
              <w:right w:val="nil"/>
            </w:tcBorders>
            <w:shd w:val="clear" w:color="auto" w:fill="auto"/>
            <w:noWrap/>
            <w:vAlign w:val="bottom"/>
            <w:hideMark/>
          </w:tcPr>
          <w:p w:rsidR="00870F3F" w:rsidRPr="00870F3F" w:rsidRDefault="00870F3F" w:rsidP="00870F3F">
            <w:pPr>
              <w:jc w:val="right"/>
              <w:rPr>
                <w:rFonts w:ascii="Calibri" w:hAnsi="Calibri" w:cs="Calibri"/>
                <w:b/>
                <w:bCs/>
                <w:color w:val="000000"/>
                <w:sz w:val="18"/>
                <w:szCs w:val="18"/>
              </w:rPr>
            </w:pPr>
            <w:r w:rsidRPr="00870F3F">
              <w:rPr>
                <w:rFonts w:ascii="Calibri" w:hAnsi="Calibri" w:cs="Calibri"/>
                <w:b/>
                <w:bCs/>
                <w:color w:val="000000"/>
                <w:sz w:val="18"/>
                <w:szCs w:val="18"/>
              </w:rPr>
              <w:t>2030</w:t>
            </w:r>
          </w:p>
        </w:tc>
      </w:tr>
      <w:tr w:rsidR="00870F3F" w:rsidRPr="00870F3F" w:rsidTr="009A7C29">
        <w:trPr>
          <w:trHeight w:val="300"/>
        </w:trPr>
        <w:tc>
          <w:tcPr>
            <w:tcW w:w="1730" w:type="pct"/>
            <w:tcBorders>
              <w:top w:val="nil"/>
              <w:left w:val="nil"/>
              <w:bottom w:val="nil"/>
              <w:right w:val="nil"/>
            </w:tcBorders>
            <w:shd w:val="clear" w:color="auto" w:fill="auto"/>
            <w:noWrap/>
            <w:vAlign w:val="bottom"/>
            <w:hideMark/>
          </w:tcPr>
          <w:p w:rsidR="00870F3F" w:rsidRPr="00870F3F" w:rsidRDefault="00870F3F" w:rsidP="00870F3F">
            <w:pPr>
              <w:rPr>
                <w:rFonts w:ascii="Calibri" w:hAnsi="Calibri" w:cs="Calibri"/>
                <w:b/>
                <w:bCs/>
                <w:color w:val="000000"/>
                <w:sz w:val="18"/>
                <w:szCs w:val="18"/>
              </w:rPr>
            </w:pPr>
            <w:r w:rsidRPr="00870F3F">
              <w:rPr>
                <w:rFonts w:ascii="Calibri" w:hAnsi="Calibri" w:cs="Calibri"/>
                <w:b/>
                <w:bCs/>
                <w:color w:val="000000"/>
                <w:sz w:val="18"/>
                <w:szCs w:val="18"/>
              </w:rPr>
              <w:t>0-5 år</w:t>
            </w:r>
          </w:p>
        </w:tc>
        <w:tc>
          <w:tcPr>
            <w:tcW w:w="1064" w:type="pct"/>
            <w:tcBorders>
              <w:top w:val="single" w:sz="4" w:space="0" w:color="auto"/>
              <w:left w:val="single" w:sz="4" w:space="0" w:color="auto"/>
              <w:bottom w:val="nil"/>
              <w:right w:val="single" w:sz="4" w:space="0" w:color="auto"/>
            </w:tcBorders>
            <w:shd w:val="clear" w:color="auto" w:fill="auto"/>
            <w:noWrap/>
            <w:vAlign w:val="bottom"/>
            <w:hideMark/>
          </w:tcPr>
          <w:p w:rsidR="00870F3F" w:rsidRPr="00870F3F" w:rsidRDefault="00870F3F" w:rsidP="009A7C29">
            <w:pPr>
              <w:jc w:val="center"/>
              <w:rPr>
                <w:rFonts w:ascii="Calibri" w:hAnsi="Calibri" w:cs="Calibri"/>
                <w:color w:val="000000"/>
                <w:sz w:val="18"/>
                <w:szCs w:val="18"/>
              </w:rPr>
            </w:pPr>
            <w:r w:rsidRPr="00870F3F">
              <w:rPr>
                <w:rFonts w:ascii="Calibri" w:hAnsi="Calibri" w:cs="Calibri"/>
                <w:color w:val="000000"/>
                <w:sz w:val="18"/>
                <w:szCs w:val="18"/>
              </w:rPr>
              <w:t>7,02%</w:t>
            </w:r>
          </w:p>
        </w:tc>
        <w:tc>
          <w:tcPr>
            <w:tcW w:w="1259" w:type="pct"/>
            <w:tcBorders>
              <w:top w:val="nil"/>
              <w:left w:val="single" w:sz="4" w:space="0" w:color="auto"/>
              <w:bottom w:val="nil"/>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7,66%</w:t>
            </w:r>
          </w:p>
        </w:tc>
        <w:tc>
          <w:tcPr>
            <w:tcW w:w="946" w:type="pct"/>
            <w:tcBorders>
              <w:top w:val="nil"/>
              <w:left w:val="nil"/>
              <w:bottom w:val="nil"/>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7,50%</w:t>
            </w:r>
          </w:p>
        </w:tc>
      </w:tr>
      <w:tr w:rsidR="00870F3F" w:rsidRPr="00870F3F" w:rsidTr="009A7C29">
        <w:trPr>
          <w:trHeight w:val="300"/>
        </w:trPr>
        <w:tc>
          <w:tcPr>
            <w:tcW w:w="1730" w:type="pct"/>
            <w:tcBorders>
              <w:top w:val="nil"/>
              <w:left w:val="nil"/>
              <w:bottom w:val="nil"/>
              <w:right w:val="nil"/>
            </w:tcBorders>
            <w:shd w:val="clear" w:color="auto" w:fill="auto"/>
            <w:noWrap/>
            <w:vAlign w:val="bottom"/>
            <w:hideMark/>
          </w:tcPr>
          <w:p w:rsidR="00870F3F" w:rsidRPr="00870F3F" w:rsidRDefault="00870F3F" w:rsidP="00870F3F">
            <w:pPr>
              <w:rPr>
                <w:rFonts w:ascii="Calibri" w:hAnsi="Calibri" w:cs="Calibri"/>
                <w:b/>
                <w:bCs/>
                <w:color w:val="000000"/>
                <w:sz w:val="18"/>
                <w:szCs w:val="18"/>
              </w:rPr>
            </w:pPr>
            <w:r w:rsidRPr="00870F3F">
              <w:rPr>
                <w:rFonts w:ascii="Calibri" w:hAnsi="Calibri" w:cs="Calibri"/>
                <w:b/>
                <w:bCs/>
                <w:color w:val="000000"/>
                <w:sz w:val="18"/>
                <w:szCs w:val="18"/>
              </w:rPr>
              <w:t>6-16 år</w:t>
            </w:r>
          </w:p>
        </w:tc>
        <w:tc>
          <w:tcPr>
            <w:tcW w:w="1064" w:type="pct"/>
            <w:tcBorders>
              <w:top w:val="nil"/>
              <w:left w:val="single" w:sz="4" w:space="0" w:color="auto"/>
              <w:bottom w:val="nil"/>
              <w:right w:val="single" w:sz="4" w:space="0" w:color="auto"/>
            </w:tcBorders>
            <w:shd w:val="clear" w:color="auto" w:fill="auto"/>
            <w:noWrap/>
            <w:vAlign w:val="bottom"/>
            <w:hideMark/>
          </w:tcPr>
          <w:p w:rsidR="00870F3F" w:rsidRPr="00870F3F" w:rsidRDefault="00870F3F" w:rsidP="009A7C29">
            <w:pPr>
              <w:jc w:val="center"/>
              <w:rPr>
                <w:rFonts w:ascii="Calibri" w:hAnsi="Calibri" w:cs="Calibri"/>
                <w:color w:val="000000"/>
                <w:sz w:val="18"/>
                <w:szCs w:val="18"/>
              </w:rPr>
            </w:pPr>
            <w:r w:rsidRPr="00870F3F">
              <w:rPr>
                <w:rFonts w:ascii="Calibri" w:hAnsi="Calibri" w:cs="Calibri"/>
                <w:color w:val="000000"/>
                <w:sz w:val="18"/>
                <w:szCs w:val="18"/>
              </w:rPr>
              <w:t>12,72%</w:t>
            </w:r>
          </w:p>
        </w:tc>
        <w:tc>
          <w:tcPr>
            <w:tcW w:w="1259" w:type="pct"/>
            <w:tcBorders>
              <w:top w:val="nil"/>
              <w:left w:val="single" w:sz="4" w:space="0" w:color="auto"/>
              <w:bottom w:val="nil"/>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12,42%</w:t>
            </w:r>
          </w:p>
        </w:tc>
        <w:tc>
          <w:tcPr>
            <w:tcW w:w="946" w:type="pct"/>
            <w:tcBorders>
              <w:top w:val="nil"/>
              <w:left w:val="nil"/>
              <w:bottom w:val="nil"/>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13,10%</w:t>
            </w:r>
          </w:p>
        </w:tc>
      </w:tr>
      <w:tr w:rsidR="00870F3F" w:rsidRPr="00870F3F" w:rsidTr="009A7C29">
        <w:trPr>
          <w:trHeight w:val="300"/>
        </w:trPr>
        <w:tc>
          <w:tcPr>
            <w:tcW w:w="1730" w:type="pct"/>
            <w:tcBorders>
              <w:top w:val="nil"/>
              <w:left w:val="nil"/>
              <w:bottom w:val="nil"/>
              <w:right w:val="nil"/>
            </w:tcBorders>
            <w:shd w:val="clear" w:color="auto" w:fill="auto"/>
            <w:noWrap/>
            <w:vAlign w:val="bottom"/>
            <w:hideMark/>
          </w:tcPr>
          <w:p w:rsidR="00870F3F" w:rsidRPr="00870F3F" w:rsidRDefault="00870F3F" w:rsidP="00870F3F">
            <w:pPr>
              <w:rPr>
                <w:rFonts w:ascii="Calibri" w:hAnsi="Calibri" w:cs="Calibri"/>
                <w:b/>
                <w:bCs/>
                <w:color w:val="000000"/>
                <w:sz w:val="18"/>
                <w:szCs w:val="18"/>
              </w:rPr>
            </w:pPr>
            <w:r w:rsidRPr="00870F3F">
              <w:rPr>
                <w:rFonts w:ascii="Calibri" w:hAnsi="Calibri" w:cs="Calibri"/>
                <w:b/>
                <w:bCs/>
                <w:color w:val="000000"/>
                <w:sz w:val="18"/>
                <w:szCs w:val="18"/>
              </w:rPr>
              <w:t>17-66 år</w:t>
            </w:r>
          </w:p>
        </w:tc>
        <w:tc>
          <w:tcPr>
            <w:tcW w:w="1064" w:type="pct"/>
            <w:tcBorders>
              <w:top w:val="nil"/>
              <w:left w:val="single" w:sz="4" w:space="0" w:color="auto"/>
              <w:bottom w:val="nil"/>
              <w:right w:val="single" w:sz="4" w:space="0" w:color="auto"/>
            </w:tcBorders>
            <w:shd w:val="clear" w:color="auto" w:fill="auto"/>
            <w:noWrap/>
            <w:vAlign w:val="bottom"/>
            <w:hideMark/>
          </w:tcPr>
          <w:p w:rsidR="00870F3F" w:rsidRPr="00870F3F" w:rsidRDefault="00870F3F" w:rsidP="009A7C29">
            <w:pPr>
              <w:jc w:val="center"/>
              <w:rPr>
                <w:rFonts w:ascii="Calibri" w:hAnsi="Calibri" w:cs="Calibri"/>
                <w:color w:val="000000"/>
                <w:sz w:val="18"/>
                <w:szCs w:val="18"/>
              </w:rPr>
            </w:pPr>
            <w:r w:rsidRPr="00870F3F">
              <w:rPr>
                <w:rFonts w:ascii="Calibri" w:hAnsi="Calibri" w:cs="Calibri"/>
                <w:color w:val="000000"/>
                <w:sz w:val="18"/>
                <w:szCs w:val="18"/>
              </w:rPr>
              <w:t>63,04%</w:t>
            </w:r>
          </w:p>
        </w:tc>
        <w:tc>
          <w:tcPr>
            <w:tcW w:w="1259" w:type="pct"/>
            <w:tcBorders>
              <w:top w:val="nil"/>
              <w:left w:val="single" w:sz="4" w:space="0" w:color="auto"/>
              <w:bottom w:val="nil"/>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63,10%</w:t>
            </w:r>
          </w:p>
        </w:tc>
        <w:tc>
          <w:tcPr>
            <w:tcW w:w="946" w:type="pct"/>
            <w:tcBorders>
              <w:top w:val="nil"/>
              <w:left w:val="nil"/>
              <w:bottom w:val="nil"/>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61,73%</w:t>
            </w:r>
          </w:p>
        </w:tc>
      </w:tr>
      <w:tr w:rsidR="00870F3F" w:rsidRPr="00870F3F" w:rsidTr="009A7C29">
        <w:trPr>
          <w:trHeight w:val="300"/>
        </w:trPr>
        <w:tc>
          <w:tcPr>
            <w:tcW w:w="1730" w:type="pct"/>
            <w:tcBorders>
              <w:top w:val="nil"/>
              <w:left w:val="nil"/>
              <w:bottom w:val="nil"/>
              <w:right w:val="nil"/>
            </w:tcBorders>
            <w:shd w:val="clear" w:color="auto" w:fill="auto"/>
            <w:noWrap/>
            <w:vAlign w:val="bottom"/>
            <w:hideMark/>
          </w:tcPr>
          <w:p w:rsidR="00870F3F" w:rsidRPr="00870F3F" w:rsidRDefault="00870F3F" w:rsidP="00870F3F">
            <w:pPr>
              <w:rPr>
                <w:rFonts w:ascii="Calibri" w:hAnsi="Calibri" w:cs="Calibri"/>
                <w:b/>
                <w:bCs/>
                <w:color w:val="000000"/>
                <w:sz w:val="18"/>
                <w:szCs w:val="18"/>
              </w:rPr>
            </w:pPr>
            <w:r w:rsidRPr="00870F3F">
              <w:rPr>
                <w:rFonts w:ascii="Calibri" w:hAnsi="Calibri" w:cs="Calibri"/>
                <w:b/>
                <w:bCs/>
                <w:color w:val="000000"/>
                <w:sz w:val="18"/>
                <w:szCs w:val="18"/>
              </w:rPr>
              <w:t>67-79 år</w:t>
            </w:r>
          </w:p>
        </w:tc>
        <w:tc>
          <w:tcPr>
            <w:tcW w:w="1064" w:type="pct"/>
            <w:tcBorders>
              <w:top w:val="nil"/>
              <w:left w:val="single" w:sz="4" w:space="0" w:color="auto"/>
              <w:bottom w:val="nil"/>
              <w:right w:val="single" w:sz="4" w:space="0" w:color="auto"/>
            </w:tcBorders>
            <w:shd w:val="clear" w:color="auto" w:fill="auto"/>
            <w:noWrap/>
            <w:vAlign w:val="bottom"/>
            <w:hideMark/>
          </w:tcPr>
          <w:p w:rsidR="00870F3F" w:rsidRPr="00870F3F" w:rsidRDefault="00870F3F" w:rsidP="009A7C29">
            <w:pPr>
              <w:jc w:val="center"/>
              <w:rPr>
                <w:rFonts w:ascii="Calibri" w:hAnsi="Calibri" w:cs="Calibri"/>
                <w:color w:val="000000"/>
                <w:sz w:val="18"/>
                <w:szCs w:val="18"/>
              </w:rPr>
            </w:pPr>
            <w:r w:rsidRPr="00870F3F">
              <w:rPr>
                <w:rFonts w:ascii="Calibri" w:hAnsi="Calibri" w:cs="Calibri"/>
                <w:color w:val="000000"/>
                <w:sz w:val="18"/>
                <w:szCs w:val="18"/>
              </w:rPr>
              <w:t>11,99%</w:t>
            </w:r>
          </w:p>
        </w:tc>
        <w:tc>
          <w:tcPr>
            <w:tcW w:w="1259" w:type="pct"/>
            <w:tcBorders>
              <w:top w:val="nil"/>
              <w:left w:val="single" w:sz="4" w:space="0" w:color="auto"/>
              <w:bottom w:val="nil"/>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11,61%</w:t>
            </w:r>
          </w:p>
        </w:tc>
        <w:tc>
          <w:tcPr>
            <w:tcW w:w="946" w:type="pct"/>
            <w:tcBorders>
              <w:top w:val="nil"/>
              <w:left w:val="nil"/>
              <w:bottom w:val="nil"/>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11,91%</w:t>
            </w:r>
          </w:p>
        </w:tc>
      </w:tr>
      <w:tr w:rsidR="00870F3F" w:rsidRPr="00870F3F" w:rsidTr="009A7C29">
        <w:trPr>
          <w:trHeight w:val="300"/>
        </w:trPr>
        <w:tc>
          <w:tcPr>
            <w:tcW w:w="1730" w:type="pct"/>
            <w:tcBorders>
              <w:top w:val="nil"/>
              <w:left w:val="nil"/>
              <w:bottom w:val="nil"/>
              <w:right w:val="nil"/>
            </w:tcBorders>
            <w:shd w:val="clear" w:color="auto" w:fill="auto"/>
            <w:noWrap/>
            <w:vAlign w:val="bottom"/>
            <w:hideMark/>
          </w:tcPr>
          <w:p w:rsidR="00870F3F" w:rsidRPr="00870F3F" w:rsidRDefault="00870F3F" w:rsidP="00870F3F">
            <w:pPr>
              <w:rPr>
                <w:rFonts w:ascii="Calibri" w:hAnsi="Calibri" w:cs="Calibri"/>
                <w:b/>
                <w:bCs/>
                <w:color w:val="000000"/>
                <w:sz w:val="18"/>
                <w:szCs w:val="18"/>
              </w:rPr>
            </w:pPr>
            <w:r w:rsidRPr="00870F3F">
              <w:rPr>
                <w:rFonts w:ascii="Calibri" w:hAnsi="Calibri" w:cs="Calibri"/>
                <w:b/>
                <w:bCs/>
                <w:color w:val="000000"/>
                <w:sz w:val="18"/>
                <w:szCs w:val="18"/>
              </w:rPr>
              <w:t>+80 år</w:t>
            </w:r>
          </w:p>
        </w:tc>
        <w:tc>
          <w:tcPr>
            <w:tcW w:w="1064" w:type="pct"/>
            <w:tcBorders>
              <w:top w:val="nil"/>
              <w:left w:val="single" w:sz="4" w:space="0" w:color="auto"/>
              <w:bottom w:val="single" w:sz="4" w:space="0" w:color="auto"/>
              <w:right w:val="single" w:sz="4" w:space="0" w:color="auto"/>
            </w:tcBorders>
            <w:shd w:val="clear" w:color="auto" w:fill="auto"/>
            <w:noWrap/>
            <w:vAlign w:val="bottom"/>
            <w:hideMark/>
          </w:tcPr>
          <w:p w:rsidR="00870F3F" w:rsidRPr="00870F3F" w:rsidRDefault="00870F3F" w:rsidP="009A7C29">
            <w:pPr>
              <w:jc w:val="center"/>
              <w:rPr>
                <w:rFonts w:ascii="Calibri" w:hAnsi="Calibri" w:cs="Calibri"/>
                <w:color w:val="000000"/>
                <w:sz w:val="18"/>
                <w:szCs w:val="18"/>
              </w:rPr>
            </w:pPr>
            <w:r w:rsidRPr="00870F3F">
              <w:rPr>
                <w:rFonts w:ascii="Calibri" w:hAnsi="Calibri" w:cs="Calibri"/>
                <w:color w:val="000000"/>
                <w:sz w:val="18"/>
                <w:szCs w:val="18"/>
              </w:rPr>
              <w:t>5,23%</w:t>
            </w:r>
          </w:p>
        </w:tc>
        <w:tc>
          <w:tcPr>
            <w:tcW w:w="1259" w:type="pct"/>
            <w:tcBorders>
              <w:top w:val="nil"/>
              <w:left w:val="single" w:sz="4" w:space="0" w:color="auto"/>
              <w:bottom w:val="single" w:sz="4" w:space="0" w:color="auto"/>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5,21%</w:t>
            </w:r>
          </w:p>
        </w:tc>
        <w:tc>
          <w:tcPr>
            <w:tcW w:w="946" w:type="pct"/>
            <w:tcBorders>
              <w:top w:val="nil"/>
              <w:left w:val="nil"/>
              <w:bottom w:val="nil"/>
              <w:right w:val="nil"/>
            </w:tcBorders>
            <w:shd w:val="clear" w:color="auto" w:fill="auto"/>
            <w:noWrap/>
            <w:vAlign w:val="bottom"/>
            <w:hideMark/>
          </w:tcPr>
          <w:p w:rsidR="00870F3F" w:rsidRPr="00870F3F" w:rsidRDefault="00870F3F" w:rsidP="00870F3F">
            <w:pPr>
              <w:jc w:val="right"/>
              <w:rPr>
                <w:rFonts w:ascii="Calibri" w:hAnsi="Calibri" w:cs="Calibri"/>
                <w:color w:val="000000"/>
                <w:sz w:val="18"/>
                <w:szCs w:val="18"/>
              </w:rPr>
            </w:pPr>
            <w:r w:rsidRPr="00870F3F">
              <w:rPr>
                <w:rFonts w:ascii="Calibri" w:hAnsi="Calibri" w:cs="Calibri"/>
                <w:color w:val="000000"/>
                <w:sz w:val="18"/>
                <w:szCs w:val="18"/>
              </w:rPr>
              <w:t>5,77%</w:t>
            </w:r>
          </w:p>
        </w:tc>
      </w:tr>
      <w:tr w:rsidR="00870F3F" w:rsidRPr="00870F3F" w:rsidTr="009A7C29">
        <w:trPr>
          <w:trHeight w:val="300"/>
        </w:trPr>
        <w:tc>
          <w:tcPr>
            <w:tcW w:w="1730" w:type="pct"/>
            <w:tcBorders>
              <w:top w:val="single" w:sz="4" w:space="0" w:color="auto"/>
              <w:left w:val="nil"/>
              <w:bottom w:val="single" w:sz="4" w:space="0" w:color="auto"/>
              <w:right w:val="nil"/>
            </w:tcBorders>
            <w:shd w:val="clear" w:color="auto" w:fill="auto"/>
            <w:noWrap/>
            <w:vAlign w:val="bottom"/>
            <w:hideMark/>
          </w:tcPr>
          <w:p w:rsidR="00870F3F" w:rsidRPr="00870F3F" w:rsidRDefault="00870F3F" w:rsidP="00870F3F">
            <w:pPr>
              <w:rPr>
                <w:rFonts w:ascii="Calibri" w:hAnsi="Calibri" w:cs="Calibri"/>
                <w:b/>
                <w:bCs/>
                <w:color w:val="000000"/>
                <w:sz w:val="18"/>
                <w:szCs w:val="18"/>
              </w:rPr>
            </w:pPr>
            <w:r w:rsidRPr="00870F3F">
              <w:rPr>
                <w:rFonts w:ascii="Calibri" w:hAnsi="Calibri" w:cs="Calibri"/>
                <w:b/>
                <w:bCs/>
                <w:color w:val="000000"/>
                <w:sz w:val="18"/>
                <w:szCs w:val="18"/>
              </w:rPr>
              <w:t>I alt</w:t>
            </w:r>
          </w:p>
        </w:tc>
        <w:tc>
          <w:tcPr>
            <w:tcW w:w="10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0F3F" w:rsidRPr="00870F3F" w:rsidRDefault="00870F3F" w:rsidP="009A7C29">
            <w:pPr>
              <w:jc w:val="center"/>
              <w:rPr>
                <w:rFonts w:ascii="Calibri" w:hAnsi="Calibri" w:cs="Calibri"/>
                <w:b/>
                <w:bCs/>
                <w:color w:val="000000"/>
                <w:sz w:val="18"/>
                <w:szCs w:val="18"/>
              </w:rPr>
            </w:pPr>
            <w:r w:rsidRPr="00870F3F">
              <w:rPr>
                <w:rFonts w:ascii="Calibri" w:hAnsi="Calibri" w:cs="Calibri"/>
                <w:b/>
                <w:bCs/>
                <w:color w:val="000000"/>
                <w:sz w:val="18"/>
                <w:szCs w:val="18"/>
              </w:rPr>
              <w:t>100%</w:t>
            </w:r>
          </w:p>
        </w:tc>
        <w:tc>
          <w:tcPr>
            <w:tcW w:w="1259" w:type="pct"/>
            <w:tcBorders>
              <w:top w:val="single" w:sz="4" w:space="0" w:color="auto"/>
              <w:left w:val="single" w:sz="4" w:space="0" w:color="auto"/>
              <w:bottom w:val="single" w:sz="4" w:space="0" w:color="auto"/>
              <w:right w:val="nil"/>
            </w:tcBorders>
            <w:shd w:val="clear" w:color="auto" w:fill="auto"/>
            <w:noWrap/>
            <w:vAlign w:val="bottom"/>
            <w:hideMark/>
          </w:tcPr>
          <w:p w:rsidR="00870F3F" w:rsidRPr="00870F3F" w:rsidRDefault="00870F3F" w:rsidP="00870F3F">
            <w:pPr>
              <w:jc w:val="right"/>
              <w:rPr>
                <w:rFonts w:ascii="Calibri" w:hAnsi="Calibri" w:cs="Calibri"/>
                <w:b/>
                <w:bCs/>
                <w:color w:val="000000"/>
                <w:sz w:val="18"/>
                <w:szCs w:val="18"/>
              </w:rPr>
            </w:pPr>
            <w:r w:rsidRPr="00870F3F">
              <w:rPr>
                <w:rFonts w:ascii="Calibri" w:hAnsi="Calibri" w:cs="Calibri"/>
                <w:b/>
                <w:bCs/>
                <w:color w:val="000000"/>
                <w:sz w:val="18"/>
                <w:szCs w:val="18"/>
              </w:rPr>
              <w:t>100%</w:t>
            </w:r>
          </w:p>
        </w:tc>
        <w:tc>
          <w:tcPr>
            <w:tcW w:w="946" w:type="pct"/>
            <w:tcBorders>
              <w:top w:val="single" w:sz="4" w:space="0" w:color="auto"/>
              <w:left w:val="nil"/>
              <w:bottom w:val="single" w:sz="4" w:space="0" w:color="auto"/>
              <w:right w:val="nil"/>
            </w:tcBorders>
            <w:shd w:val="clear" w:color="auto" w:fill="auto"/>
            <w:noWrap/>
            <w:vAlign w:val="bottom"/>
            <w:hideMark/>
          </w:tcPr>
          <w:p w:rsidR="00870F3F" w:rsidRPr="00870F3F" w:rsidRDefault="00870F3F" w:rsidP="00870F3F">
            <w:pPr>
              <w:jc w:val="right"/>
              <w:rPr>
                <w:rFonts w:ascii="Calibri" w:hAnsi="Calibri" w:cs="Calibri"/>
                <w:b/>
                <w:bCs/>
                <w:color w:val="000000"/>
                <w:sz w:val="18"/>
                <w:szCs w:val="18"/>
              </w:rPr>
            </w:pPr>
            <w:r w:rsidRPr="00870F3F">
              <w:rPr>
                <w:rFonts w:ascii="Calibri" w:hAnsi="Calibri" w:cs="Calibri"/>
                <w:b/>
                <w:bCs/>
                <w:color w:val="000000"/>
                <w:sz w:val="18"/>
                <w:szCs w:val="18"/>
              </w:rPr>
              <w:t>100%</w:t>
            </w:r>
          </w:p>
        </w:tc>
      </w:tr>
    </w:tbl>
    <w:p w:rsidR="008B6E0A" w:rsidRPr="008B6E0A" w:rsidRDefault="008B6E0A" w:rsidP="008B6E0A">
      <w:pPr>
        <w:rPr>
          <w:lang w:eastAsia="en-US"/>
        </w:rPr>
      </w:pPr>
    </w:p>
    <w:p w:rsidR="006D04C4" w:rsidRPr="001B3F91" w:rsidRDefault="006D04C4" w:rsidP="006D04C4">
      <w:pPr>
        <w:pStyle w:val="Overskrift2"/>
        <w:keepLines w:val="0"/>
        <w:numPr>
          <w:ilvl w:val="1"/>
          <w:numId w:val="5"/>
        </w:numPr>
        <w:spacing w:before="240" w:after="60"/>
        <w:jc w:val="both"/>
      </w:pPr>
      <w:bookmarkStart w:id="21" w:name="_Toc38356008"/>
      <w:r w:rsidRPr="001B3F91">
        <w:t>Befolkningsfremskrivning for kommunens bydele</w:t>
      </w:r>
      <w:bookmarkEnd w:id="21"/>
    </w:p>
    <w:p w:rsidR="006D04C4" w:rsidRPr="00802703" w:rsidRDefault="006D04C4" w:rsidP="006D04C4">
      <w:pPr>
        <w:pStyle w:val="Normal1"/>
        <w:rPr>
          <w:rFonts w:ascii="Arial" w:hAnsi="Arial" w:cs="Arial"/>
          <w:sz w:val="22"/>
          <w:szCs w:val="22"/>
        </w:rPr>
      </w:pPr>
      <w:r w:rsidRPr="00802703">
        <w:rPr>
          <w:rFonts w:ascii="Arial" w:hAnsi="Arial" w:cs="Arial"/>
          <w:sz w:val="22"/>
          <w:szCs w:val="22"/>
        </w:rPr>
        <w:t>Geografisk er Brøndby Kommune inddelt i tre bydele – eller områder –, nemlig; Brøndbyvester, Brøndbyøster og Brøndby Strand. I bilag A findes oversigter over den specifikke afgrænsning.</w:t>
      </w:r>
    </w:p>
    <w:p w:rsidR="006D04C4" w:rsidRPr="00802703" w:rsidRDefault="006D04C4" w:rsidP="006D04C4">
      <w:pPr>
        <w:pStyle w:val="Normal1"/>
        <w:rPr>
          <w:rFonts w:ascii="Arial" w:hAnsi="Arial" w:cs="Arial"/>
          <w:sz w:val="22"/>
          <w:szCs w:val="22"/>
        </w:rPr>
      </w:pPr>
    </w:p>
    <w:p w:rsidR="006D04C4" w:rsidRPr="00802703" w:rsidRDefault="006D04C4" w:rsidP="006D04C4">
      <w:pPr>
        <w:pStyle w:val="Normal1"/>
        <w:rPr>
          <w:rFonts w:ascii="Arial" w:hAnsi="Arial" w:cs="Arial"/>
          <w:sz w:val="22"/>
          <w:szCs w:val="22"/>
        </w:rPr>
      </w:pPr>
      <w:r w:rsidRPr="00802703">
        <w:rPr>
          <w:rFonts w:ascii="Arial" w:hAnsi="Arial" w:cs="Arial"/>
          <w:sz w:val="22"/>
          <w:szCs w:val="22"/>
        </w:rPr>
        <w:t>Skoledistrikterne følger bydelsgrænserne, og nedenfor vil de samlede bydelsprognoser og prognoserne for skolebørn således blive behandlet samtidigt.</w:t>
      </w:r>
    </w:p>
    <w:p w:rsidR="006D04C4" w:rsidRPr="001B3F91" w:rsidRDefault="006D04C4" w:rsidP="006D04C4">
      <w:pPr>
        <w:pStyle w:val="Overskrift3"/>
        <w:numPr>
          <w:ilvl w:val="2"/>
          <w:numId w:val="5"/>
        </w:numPr>
        <w:tabs>
          <w:tab w:val="clear" w:pos="720"/>
        </w:tabs>
      </w:pPr>
      <w:bookmarkStart w:id="22" w:name="_Toc38356009"/>
      <w:r w:rsidRPr="001B3F91">
        <w:t>Befolkningsfordelingen mellem bydelene</w:t>
      </w:r>
      <w:bookmarkEnd w:id="22"/>
    </w:p>
    <w:p w:rsidR="006D04C4" w:rsidRPr="001B3F91" w:rsidRDefault="006D04C4" w:rsidP="006D04C4">
      <w:r w:rsidRPr="001B3F91">
        <w:t xml:space="preserve">Cirkeldiagrammet nedenfor (figur </w:t>
      </w:r>
      <w:r>
        <w:t>10</w:t>
      </w:r>
      <w:r w:rsidRPr="001B3F91">
        <w:t xml:space="preserve">) viser indbyggertallet pr. </w:t>
      </w:r>
      <w:r w:rsidR="009A7C29">
        <w:t>1. januar 2020</w:t>
      </w:r>
      <w:r w:rsidRPr="001B3F91">
        <w:t xml:space="preserve"> fordelt mellem kommunens bydele. </w:t>
      </w:r>
    </w:p>
    <w:p w:rsidR="006D04C4" w:rsidRPr="00D30D29" w:rsidRDefault="006D04C4" w:rsidP="006D04C4">
      <w:pPr>
        <w:rPr>
          <w:highlight w:val="yellow"/>
        </w:rPr>
      </w:pPr>
    </w:p>
    <w:p w:rsidR="006D04C4" w:rsidRPr="001B3F91" w:rsidRDefault="006D04C4" w:rsidP="006D04C4">
      <w:r w:rsidRPr="001B3F91">
        <w:t>Det fremgår af figuren, at, af kommunens 35.</w:t>
      </w:r>
      <w:r w:rsidR="00665992">
        <w:t>094</w:t>
      </w:r>
      <w:r w:rsidRPr="001B3F91">
        <w:t xml:space="preserve"> indbyggere, var 14.</w:t>
      </w:r>
      <w:r w:rsidR="00665992">
        <w:t>139</w:t>
      </w:r>
      <w:r w:rsidRPr="001B3F91">
        <w:t xml:space="preserve"> bosat i Brøndby Strand, svarende til</w:t>
      </w:r>
      <w:r>
        <w:t>,</w:t>
      </w:r>
      <w:r w:rsidRPr="001B3F91">
        <w:t xml:space="preserve"> i runde tal</w:t>
      </w:r>
      <w:r>
        <w:t>,</w:t>
      </w:r>
      <w:r w:rsidR="00665992">
        <w:t xml:space="preserve"> 40</w:t>
      </w:r>
      <w:r w:rsidRPr="001B3F91">
        <w:t xml:space="preserve"> pct. Bydelen er dermed</w:t>
      </w:r>
      <w:r>
        <w:t xml:space="preserve"> kommun</w:t>
      </w:r>
      <w:r w:rsidR="00665992">
        <w:t>ens største bydel. 11.816</w:t>
      </w:r>
      <w:r w:rsidRPr="001B3F91">
        <w:t xml:space="preserve"> borgere boede pr. 1. janu</w:t>
      </w:r>
      <w:r w:rsidR="00745477">
        <w:t>a</w:t>
      </w:r>
      <w:r w:rsidR="009A7C29">
        <w:t>r 2020</w:t>
      </w:r>
      <w:r w:rsidRPr="001B3F91">
        <w:t xml:space="preserve"> i Brø</w:t>
      </w:r>
      <w:r w:rsidR="00745477">
        <w:t>ndbyøster, hvilket svarer til 34</w:t>
      </w:r>
      <w:r w:rsidR="00665992">
        <w:t xml:space="preserve"> pct., og 9.008</w:t>
      </w:r>
      <w:r w:rsidRPr="001B3F91">
        <w:t xml:space="preserve"> borgere boede i kommunens befolkningsmæssigt mindste bydel, Brøn</w:t>
      </w:r>
      <w:r w:rsidR="00665992">
        <w:t>dbyvester, hvilket svarer til 26</w:t>
      </w:r>
      <w:r w:rsidRPr="001B3F91">
        <w:t xml:space="preserve"> pct. Dermed er befolkningsfordelingen mellem bydel</w:t>
      </w:r>
      <w:r w:rsidR="00745477">
        <w:t>ene på</w:t>
      </w:r>
      <w:r>
        <w:t xml:space="preserve"> samme </w:t>
      </w:r>
      <w:r w:rsidR="00745477">
        <w:t>niveau som i 2015- 2018</w:t>
      </w:r>
      <w:r w:rsidRPr="001B3F91">
        <w:t>.</w:t>
      </w:r>
      <w:r w:rsidR="00745477">
        <w:t xml:space="preserve"> Brøndby Strand er dog faldet til </w:t>
      </w:r>
      <w:r w:rsidR="00665992">
        <w:t>nu at udgøre 40 pct. mod 41</w:t>
      </w:r>
      <w:r w:rsidR="0073442B">
        <w:t xml:space="preserve"> pct. s</w:t>
      </w:r>
      <w:r w:rsidR="00745477">
        <w:t>idste år, mens Brøndb</w:t>
      </w:r>
      <w:r w:rsidR="00665992">
        <w:t>yvester</w:t>
      </w:r>
      <w:r w:rsidR="00745477">
        <w:t xml:space="preserve"> er steget tilsvarende med 1 pct. point.</w:t>
      </w:r>
      <w:r w:rsidRPr="001B3F91">
        <w:t xml:space="preserve"> </w:t>
      </w:r>
    </w:p>
    <w:p w:rsidR="006D04C4" w:rsidRPr="00D30D29" w:rsidRDefault="006D04C4" w:rsidP="006D04C4">
      <w:pPr>
        <w:rPr>
          <w:highlight w:val="yellow"/>
        </w:rPr>
      </w:pPr>
    </w:p>
    <w:p w:rsidR="006D04C4" w:rsidRPr="007B3BB7" w:rsidRDefault="006D04C4" w:rsidP="006D04C4">
      <w:pPr>
        <w:pStyle w:val="Billedtekst"/>
      </w:pPr>
      <w:r w:rsidRPr="007B3BB7">
        <w:rPr>
          <w:b/>
        </w:rPr>
        <w:t xml:space="preserve">Figur </w:t>
      </w:r>
      <w:r w:rsidRPr="007B3BB7">
        <w:rPr>
          <w:b/>
        </w:rPr>
        <w:fldChar w:fldCharType="begin"/>
      </w:r>
      <w:r w:rsidRPr="007B3BB7">
        <w:rPr>
          <w:b/>
        </w:rPr>
        <w:instrText xml:space="preserve"> SEQ Figur \* ARABIC </w:instrText>
      </w:r>
      <w:r w:rsidRPr="007B3BB7">
        <w:rPr>
          <w:b/>
        </w:rPr>
        <w:fldChar w:fldCharType="separate"/>
      </w:r>
      <w:r w:rsidR="00313F67">
        <w:rPr>
          <w:b/>
          <w:noProof/>
        </w:rPr>
        <w:t>9</w:t>
      </w:r>
      <w:r w:rsidRPr="007B3BB7">
        <w:rPr>
          <w:b/>
        </w:rPr>
        <w:fldChar w:fldCharType="end"/>
      </w:r>
      <w:r w:rsidRPr="007B3BB7">
        <w:rPr>
          <w:b/>
        </w:rPr>
        <w:t>.</w:t>
      </w:r>
      <w:r w:rsidRPr="007B3BB7">
        <w:t xml:space="preserve"> Befolkningens fordeling mellem Brøndby Kommun</w:t>
      </w:r>
      <w:r w:rsidR="00665992">
        <w:t>es tre bydele pr. 1. januar 2020</w:t>
      </w:r>
      <w:r w:rsidRPr="007B3BB7">
        <w:t>.</w:t>
      </w:r>
    </w:p>
    <w:p w:rsidR="006D04C4" w:rsidRDefault="00665992" w:rsidP="006D04C4">
      <w:pPr>
        <w:rPr>
          <w:noProof/>
        </w:rPr>
      </w:pPr>
      <w:r>
        <w:rPr>
          <w:noProof/>
        </w:rPr>
        <w:drawing>
          <wp:inline distT="0" distB="0" distL="0" distR="0" wp14:anchorId="5F316DC6" wp14:editId="01AACCE4">
            <wp:extent cx="5705475" cy="3462338"/>
            <wp:effectExtent l="0" t="0" r="9525" b="5080"/>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D04C4" w:rsidRPr="00D30D29" w:rsidRDefault="006D04C4" w:rsidP="006D04C4">
      <w:pPr>
        <w:rPr>
          <w:noProof/>
          <w:highlight w:val="yellow"/>
        </w:rPr>
      </w:pPr>
    </w:p>
    <w:p w:rsidR="006D04C4" w:rsidRPr="007B3BB7" w:rsidRDefault="006D04C4" w:rsidP="006D04C4">
      <w:pPr>
        <w:rPr>
          <w:sz w:val="18"/>
          <w:szCs w:val="18"/>
        </w:rPr>
      </w:pPr>
      <w:r w:rsidRPr="007B3BB7">
        <w:rPr>
          <w:sz w:val="18"/>
          <w:szCs w:val="18"/>
        </w:rPr>
        <w:t>Kilde: DemoGrafix, egne beregninger</w:t>
      </w:r>
    </w:p>
    <w:p w:rsidR="006D04C4" w:rsidRPr="007B3BB7" w:rsidRDefault="00665992" w:rsidP="006D04C4">
      <w:pPr>
        <w:rPr>
          <w:sz w:val="18"/>
          <w:szCs w:val="18"/>
        </w:rPr>
      </w:pPr>
      <w:r>
        <w:rPr>
          <w:sz w:val="18"/>
          <w:szCs w:val="18"/>
        </w:rPr>
        <w:t xml:space="preserve">*Note: 131 </w:t>
      </w:r>
      <w:r w:rsidR="006D04C4" w:rsidRPr="007B3BB7">
        <w:rPr>
          <w:sz w:val="18"/>
          <w:szCs w:val="18"/>
        </w:rPr>
        <w:t>personer kunne ikke knyttes til nogen bydel i statistikken i udgangsåret, hvorfor i alt og summen af de tre bydele ikke stemmer overens</w:t>
      </w:r>
      <w:r w:rsidR="006D04C4">
        <w:rPr>
          <w:sz w:val="18"/>
          <w:szCs w:val="18"/>
        </w:rPr>
        <w:t xml:space="preserve"> med totaltallet</w:t>
      </w:r>
      <w:r w:rsidR="006D04C4" w:rsidRPr="007B3BB7">
        <w:rPr>
          <w:sz w:val="18"/>
          <w:szCs w:val="18"/>
        </w:rPr>
        <w:t>. Personerne var på opgørelsestidspunktet teknisk set adresseløse.</w:t>
      </w:r>
    </w:p>
    <w:p w:rsidR="006D04C4" w:rsidRPr="001B3F91" w:rsidRDefault="006D04C4" w:rsidP="006D04C4">
      <w:pPr>
        <w:pStyle w:val="Overskrift3"/>
        <w:numPr>
          <w:ilvl w:val="2"/>
          <w:numId w:val="5"/>
        </w:numPr>
        <w:tabs>
          <w:tab w:val="clear" w:pos="720"/>
        </w:tabs>
      </w:pPr>
      <w:bookmarkStart w:id="23" w:name="_Toc38356010"/>
      <w:r w:rsidRPr="001B3F91">
        <w:t>Befolkningsfremskrivning for Brøndbyvester, Brøndbyøster og Brøndby Strand</w:t>
      </w:r>
      <w:bookmarkEnd w:id="23"/>
    </w:p>
    <w:p w:rsidR="006D04C4" w:rsidRDefault="006D04C4" w:rsidP="006D04C4">
      <w:r w:rsidRPr="004A638D">
        <w:t>Tabel 9 nedenfor viser prognosens resultater for de samlede befolkningstal for bydelene Brøndbyvester, Brøndbyøster og Brø</w:t>
      </w:r>
      <w:r w:rsidR="00794D06" w:rsidRPr="004A638D">
        <w:t>ndby Strand i prognoseårene 2023, 2026 og 2030</w:t>
      </w:r>
      <w:r w:rsidRPr="004A638D">
        <w:t xml:space="preserve"> samt ændringe</w:t>
      </w:r>
      <w:r w:rsidR="00794D06" w:rsidRPr="004A638D">
        <w:t>r i forhold til udgangsåret 2020 (primo)</w:t>
      </w:r>
      <w:r w:rsidRPr="004A638D">
        <w:t>.</w:t>
      </w:r>
      <w:r w:rsidR="0073442B" w:rsidRPr="004A638D">
        <w:t xml:space="preserve"> </w:t>
      </w:r>
    </w:p>
    <w:p w:rsidR="00794D06" w:rsidRPr="009A6FEB" w:rsidRDefault="00794D06" w:rsidP="006D04C4"/>
    <w:p w:rsidR="006D04C4" w:rsidRPr="00794D06" w:rsidRDefault="006D04C4" w:rsidP="00794D06">
      <w:pPr>
        <w:pStyle w:val="Billedtekst"/>
        <w:rPr>
          <w:rFonts w:ascii="Arial" w:hAnsi="Arial" w:cs="Arial"/>
        </w:rPr>
      </w:pPr>
      <w:r w:rsidRPr="00794D06">
        <w:rPr>
          <w:rFonts w:ascii="Arial" w:hAnsi="Arial" w:cs="Arial"/>
          <w:b/>
        </w:rPr>
        <w:t>Tabel 9.</w:t>
      </w:r>
      <w:r w:rsidRPr="00794D06">
        <w:rPr>
          <w:rFonts w:ascii="Arial" w:hAnsi="Arial" w:cs="Arial"/>
        </w:rPr>
        <w:t xml:space="preserve"> Befolkningsfremskrivning for Brøndbyvester, Brøndby</w:t>
      </w:r>
      <w:r w:rsidR="00794D06" w:rsidRPr="00794D06">
        <w:rPr>
          <w:rFonts w:ascii="Arial" w:hAnsi="Arial" w:cs="Arial"/>
        </w:rPr>
        <w:t>øster og Brøndby Strand for 2023, 2026 og 2030</w:t>
      </w:r>
      <w:r w:rsidRPr="00794D06">
        <w:rPr>
          <w:rFonts w:ascii="Arial" w:hAnsi="Arial" w:cs="Arial"/>
        </w:rPr>
        <w:t>.</w:t>
      </w:r>
    </w:p>
    <w:tbl>
      <w:tblPr>
        <w:tblW w:w="5000" w:type="pct"/>
        <w:tblCellMar>
          <w:left w:w="70" w:type="dxa"/>
          <w:right w:w="70" w:type="dxa"/>
        </w:tblCellMar>
        <w:tblLook w:val="04A0" w:firstRow="1" w:lastRow="0" w:firstColumn="1" w:lastColumn="0" w:noHBand="0" w:noVBand="1"/>
      </w:tblPr>
      <w:tblGrid>
        <w:gridCol w:w="1401"/>
        <w:gridCol w:w="1021"/>
        <w:gridCol w:w="761"/>
        <w:gridCol w:w="761"/>
        <w:gridCol w:w="764"/>
        <w:gridCol w:w="821"/>
        <w:gridCol w:w="821"/>
        <w:gridCol w:w="821"/>
        <w:gridCol w:w="618"/>
        <w:gridCol w:w="618"/>
        <w:gridCol w:w="618"/>
        <w:gridCol w:w="614"/>
      </w:tblGrid>
      <w:tr w:rsidR="00542606" w:rsidRPr="00794D06" w:rsidTr="00794D06">
        <w:trPr>
          <w:trHeight w:val="600"/>
        </w:trPr>
        <w:tc>
          <w:tcPr>
            <w:tcW w:w="701" w:type="pct"/>
            <w:tcBorders>
              <w:top w:val="single" w:sz="4" w:space="0" w:color="auto"/>
              <w:left w:val="nil"/>
              <w:bottom w:val="single" w:sz="4" w:space="0" w:color="auto"/>
              <w:right w:val="nil"/>
            </w:tcBorders>
            <w:shd w:val="clear" w:color="auto" w:fill="auto"/>
            <w:vAlign w:val="bottom"/>
            <w:hideMark/>
          </w:tcPr>
          <w:p w:rsidR="00542606" w:rsidRPr="00794D06" w:rsidRDefault="00542606" w:rsidP="00542606">
            <w:pPr>
              <w:rPr>
                <w:rFonts w:cs="Arial"/>
                <w:color w:val="000000"/>
                <w:sz w:val="18"/>
                <w:szCs w:val="18"/>
              </w:rPr>
            </w:pPr>
            <w:r w:rsidRPr="00794D06">
              <w:rPr>
                <w:rFonts w:cs="Arial"/>
                <w:color w:val="000000"/>
                <w:sz w:val="18"/>
                <w:szCs w:val="18"/>
              </w:rPr>
              <w:t> </w:t>
            </w:r>
          </w:p>
        </w:tc>
        <w:tc>
          <w:tcPr>
            <w:tcW w:w="477" w:type="pct"/>
            <w:tcBorders>
              <w:top w:val="single" w:sz="4" w:space="0" w:color="auto"/>
              <w:left w:val="single" w:sz="4" w:space="0" w:color="auto"/>
              <w:bottom w:val="single" w:sz="4" w:space="0" w:color="auto"/>
              <w:right w:val="nil"/>
            </w:tcBorders>
            <w:shd w:val="clear" w:color="auto" w:fill="auto"/>
            <w:vAlign w:val="bottom"/>
            <w:hideMark/>
          </w:tcPr>
          <w:p w:rsidR="00542606" w:rsidRPr="00794D06" w:rsidRDefault="00542606" w:rsidP="00542606">
            <w:pPr>
              <w:rPr>
                <w:rFonts w:cs="Arial"/>
                <w:color w:val="000000"/>
                <w:sz w:val="18"/>
                <w:szCs w:val="18"/>
              </w:rPr>
            </w:pPr>
            <w:r w:rsidRPr="00794D06">
              <w:rPr>
                <w:rFonts w:cs="Arial"/>
                <w:color w:val="000000"/>
                <w:sz w:val="18"/>
                <w:szCs w:val="18"/>
              </w:rPr>
              <w:t>Udgangsår</w:t>
            </w:r>
          </w:p>
        </w:tc>
        <w:tc>
          <w:tcPr>
            <w:tcW w:w="1237"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542606" w:rsidRPr="00794D06" w:rsidRDefault="00542606" w:rsidP="00542606">
            <w:pPr>
              <w:jc w:val="center"/>
              <w:rPr>
                <w:rFonts w:cs="Arial"/>
                <w:color w:val="000000"/>
                <w:sz w:val="18"/>
                <w:szCs w:val="18"/>
              </w:rPr>
            </w:pPr>
            <w:r w:rsidRPr="00794D06">
              <w:rPr>
                <w:rFonts w:cs="Arial"/>
                <w:color w:val="000000"/>
                <w:sz w:val="18"/>
                <w:szCs w:val="18"/>
              </w:rPr>
              <w:t>Prognose</w:t>
            </w:r>
          </w:p>
        </w:tc>
        <w:tc>
          <w:tcPr>
            <w:tcW w:w="413" w:type="pct"/>
            <w:tcBorders>
              <w:top w:val="single" w:sz="4" w:space="0" w:color="auto"/>
              <w:left w:val="nil"/>
              <w:bottom w:val="single" w:sz="4" w:space="0" w:color="auto"/>
              <w:right w:val="nil"/>
            </w:tcBorders>
            <w:shd w:val="clear" w:color="auto" w:fill="auto"/>
            <w:vAlign w:val="bottom"/>
            <w:hideMark/>
          </w:tcPr>
          <w:p w:rsidR="00542606" w:rsidRPr="00794D06" w:rsidRDefault="00794D06" w:rsidP="00542606">
            <w:pPr>
              <w:rPr>
                <w:rFonts w:cs="Arial"/>
                <w:color w:val="000000"/>
                <w:sz w:val="18"/>
                <w:szCs w:val="18"/>
              </w:rPr>
            </w:pPr>
            <w:r>
              <w:rPr>
                <w:rFonts w:cs="Arial"/>
                <w:color w:val="000000"/>
                <w:sz w:val="18"/>
                <w:szCs w:val="18"/>
              </w:rPr>
              <w:t xml:space="preserve">Ændring </w:t>
            </w:r>
            <w:r w:rsidR="00542606" w:rsidRPr="00794D06">
              <w:rPr>
                <w:rFonts w:cs="Arial"/>
                <w:color w:val="000000"/>
                <w:sz w:val="18"/>
                <w:szCs w:val="18"/>
              </w:rPr>
              <w:t xml:space="preserve"> 2020-2023</w:t>
            </w:r>
          </w:p>
        </w:tc>
        <w:tc>
          <w:tcPr>
            <w:tcW w:w="413" w:type="pct"/>
            <w:tcBorders>
              <w:top w:val="single" w:sz="4" w:space="0" w:color="auto"/>
              <w:left w:val="nil"/>
              <w:bottom w:val="single" w:sz="4" w:space="0" w:color="auto"/>
              <w:right w:val="nil"/>
            </w:tcBorders>
            <w:shd w:val="clear" w:color="auto" w:fill="auto"/>
            <w:vAlign w:val="bottom"/>
            <w:hideMark/>
          </w:tcPr>
          <w:p w:rsidR="00542606" w:rsidRPr="00794D06" w:rsidRDefault="00794D06" w:rsidP="00542606">
            <w:pPr>
              <w:rPr>
                <w:rFonts w:cs="Arial"/>
                <w:color w:val="000000"/>
                <w:sz w:val="18"/>
                <w:szCs w:val="18"/>
              </w:rPr>
            </w:pPr>
            <w:r>
              <w:rPr>
                <w:rFonts w:cs="Arial"/>
                <w:color w:val="000000"/>
                <w:sz w:val="18"/>
                <w:szCs w:val="18"/>
              </w:rPr>
              <w:t xml:space="preserve">Ændring </w:t>
            </w:r>
            <w:r w:rsidR="00542606" w:rsidRPr="00794D06">
              <w:rPr>
                <w:rFonts w:cs="Arial"/>
                <w:color w:val="000000"/>
                <w:sz w:val="18"/>
                <w:szCs w:val="18"/>
              </w:rPr>
              <w:t>2020-2026</w:t>
            </w:r>
          </w:p>
        </w:tc>
        <w:tc>
          <w:tcPr>
            <w:tcW w:w="413" w:type="pct"/>
            <w:tcBorders>
              <w:top w:val="single" w:sz="4" w:space="0" w:color="auto"/>
              <w:left w:val="nil"/>
              <w:bottom w:val="single" w:sz="4" w:space="0" w:color="auto"/>
              <w:right w:val="nil"/>
            </w:tcBorders>
            <w:shd w:val="clear" w:color="auto" w:fill="auto"/>
            <w:vAlign w:val="bottom"/>
            <w:hideMark/>
          </w:tcPr>
          <w:p w:rsidR="00542606" w:rsidRPr="00794D06" w:rsidRDefault="00542606" w:rsidP="00542606">
            <w:pPr>
              <w:rPr>
                <w:rFonts w:cs="Arial"/>
                <w:color w:val="000000"/>
                <w:sz w:val="18"/>
                <w:szCs w:val="18"/>
              </w:rPr>
            </w:pPr>
            <w:r w:rsidRPr="00794D06">
              <w:rPr>
                <w:rFonts w:cs="Arial"/>
                <w:color w:val="000000"/>
                <w:sz w:val="18"/>
                <w:szCs w:val="18"/>
              </w:rPr>
              <w:t>Ændri</w:t>
            </w:r>
            <w:r w:rsidR="00794D06">
              <w:rPr>
                <w:rFonts w:cs="Arial"/>
                <w:color w:val="000000"/>
                <w:sz w:val="18"/>
                <w:szCs w:val="18"/>
              </w:rPr>
              <w:t xml:space="preserve">ng </w:t>
            </w:r>
            <w:r w:rsidRPr="00794D06">
              <w:rPr>
                <w:rFonts w:cs="Arial"/>
                <w:color w:val="000000"/>
                <w:sz w:val="18"/>
                <w:szCs w:val="18"/>
              </w:rPr>
              <w:t xml:space="preserve"> 2020-2030</w:t>
            </w:r>
          </w:p>
        </w:tc>
        <w:tc>
          <w:tcPr>
            <w:tcW w:w="1346" w:type="pct"/>
            <w:gridSpan w:val="4"/>
            <w:tcBorders>
              <w:top w:val="single" w:sz="4" w:space="0" w:color="auto"/>
              <w:left w:val="single" w:sz="4" w:space="0" w:color="auto"/>
              <w:bottom w:val="single" w:sz="4" w:space="0" w:color="auto"/>
              <w:right w:val="nil"/>
            </w:tcBorders>
            <w:shd w:val="clear" w:color="auto" w:fill="auto"/>
            <w:vAlign w:val="bottom"/>
            <w:hideMark/>
          </w:tcPr>
          <w:p w:rsidR="00542606" w:rsidRPr="00794D06" w:rsidRDefault="00542606" w:rsidP="00542606">
            <w:pPr>
              <w:jc w:val="center"/>
              <w:rPr>
                <w:rFonts w:cs="Arial"/>
                <w:color w:val="000000"/>
                <w:sz w:val="18"/>
                <w:szCs w:val="18"/>
              </w:rPr>
            </w:pPr>
            <w:r w:rsidRPr="00794D06">
              <w:rPr>
                <w:rFonts w:cs="Arial"/>
                <w:color w:val="000000"/>
                <w:sz w:val="18"/>
                <w:szCs w:val="18"/>
              </w:rPr>
              <w:t>Befolkningsfordelingen i %</w:t>
            </w:r>
          </w:p>
        </w:tc>
      </w:tr>
      <w:tr w:rsidR="00542606" w:rsidRPr="00794D06" w:rsidTr="00794D06">
        <w:trPr>
          <w:trHeight w:val="300"/>
        </w:trPr>
        <w:tc>
          <w:tcPr>
            <w:tcW w:w="701" w:type="pct"/>
            <w:tcBorders>
              <w:top w:val="nil"/>
              <w:left w:val="nil"/>
              <w:bottom w:val="nil"/>
              <w:right w:val="nil"/>
            </w:tcBorders>
            <w:shd w:val="clear" w:color="auto" w:fill="auto"/>
            <w:noWrap/>
            <w:vAlign w:val="bottom"/>
            <w:hideMark/>
          </w:tcPr>
          <w:p w:rsidR="00542606" w:rsidRPr="00794D06" w:rsidRDefault="00542606" w:rsidP="00542606">
            <w:pPr>
              <w:jc w:val="center"/>
              <w:rPr>
                <w:rFonts w:cs="Arial"/>
                <w:color w:val="000000"/>
                <w:sz w:val="18"/>
                <w:szCs w:val="18"/>
              </w:rPr>
            </w:pPr>
          </w:p>
        </w:tc>
        <w:tc>
          <w:tcPr>
            <w:tcW w:w="477"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2020</w:t>
            </w:r>
          </w:p>
        </w:tc>
        <w:tc>
          <w:tcPr>
            <w:tcW w:w="412"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2023</w:t>
            </w:r>
          </w:p>
        </w:tc>
        <w:tc>
          <w:tcPr>
            <w:tcW w:w="412"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2026</w:t>
            </w:r>
          </w:p>
        </w:tc>
        <w:tc>
          <w:tcPr>
            <w:tcW w:w="412"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2030</w:t>
            </w:r>
          </w:p>
        </w:tc>
        <w:tc>
          <w:tcPr>
            <w:tcW w:w="413"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center"/>
              <w:rPr>
                <w:rFonts w:cs="Arial"/>
                <w:color w:val="000000"/>
                <w:sz w:val="18"/>
                <w:szCs w:val="18"/>
              </w:rPr>
            </w:pPr>
            <w:r w:rsidRPr="00794D06">
              <w:rPr>
                <w:rFonts w:cs="Arial"/>
                <w:color w:val="000000"/>
                <w:sz w:val="18"/>
                <w:szCs w:val="18"/>
              </w:rPr>
              <w:t>%</w:t>
            </w:r>
          </w:p>
        </w:tc>
        <w:tc>
          <w:tcPr>
            <w:tcW w:w="413" w:type="pct"/>
            <w:tcBorders>
              <w:top w:val="nil"/>
              <w:left w:val="nil"/>
              <w:bottom w:val="nil"/>
              <w:right w:val="nil"/>
            </w:tcBorders>
            <w:shd w:val="clear" w:color="auto" w:fill="auto"/>
            <w:noWrap/>
            <w:vAlign w:val="bottom"/>
            <w:hideMark/>
          </w:tcPr>
          <w:p w:rsidR="00542606" w:rsidRPr="00794D06" w:rsidRDefault="00542606" w:rsidP="00542606">
            <w:pPr>
              <w:jc w:val="center"/>
              <w:rPr>
                <w:rFonts w:cs="Arial"/>
                <w:color w:val="000000"/>
                <w:sz w:val="18"/>
                <w:szCs w:val="18"/>
              </w:rPr>
            </w:pPr>
            <w:r w:rsidRPr="00794D06">
              <w:rPr>
                <w:rFonts w:cs="Arial"/>
                <w:color w:val="000000"/>
                <w:sz w:val="18"/>
                <w:szCs w:val="18"/>
              </w:rPr>
              <w:t>%</w:t>
            </w:r>
          </w:p>
        </w:tc>
        <w:tc>
          <w:tcPr>
            <w:tcW w:w="413" w:type="pct"/>
            <w:tcBorders>
              <w:top w:val="nil"/>
              <w:left w:val="nil"/>
              <w:bottom w:val="nil"/>
              <w:right w:val="nil"/>
            </w:tcBorders>
            <w:shd w:val="clear" w:color="auto" w:fill="auto"/>
            <w:noWrap/>
            <w:vAlign w:val="bottom"/>
            <w:hideMark/>
          </w:tcPr>
          <w:p w:rsidR="00542606" w:rsidRPr="00794D06" w:rsidRDefault="00542606" w:rsidP="00542606">
            <w:pPr>
              <w:jc w:val="center"/>
              <w:rPr>
                <w:rFonts w:cs="Arial"/>
                <w:color w:val="000000"/>
                <w:sz w:val="18"/>
                <w:szCs w:val="18"/>
              </w:rPr>
            </w:pPr>
            <w:r w:rsidRPr="00794D06">
              <w:rPr>
                <w:rFonts w:cs="Arial"/>
                <w:color w:val="000000"/>
                <w:sz w:val="18"/>
                <w:szCs w:val="18"/>
              </w:rPr>
              <w:t>%</w:t>
            </w:r>
          </w:p>
        </w:tc>
        <w:tc>
          <w:tcPr>
            <w:tcW w:w="337"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2020</w:t>
            </w:r>
          </w:p>
        </w:tc>
        <w:tc>
          <w:tcPr>
            <w:tcW w:w="337"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2023</w:t>
            </w:r>
          </w:p>
        </w:tc>
        <w:tc>
          <w:tcPr>
            <w:tcW w:w="337"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2026</w:t>
            </w:r>
          </w:p>
        </w:tc>
        <w:tc>
          <w:tcPr>
            <w:tcW w:w="336"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2030</w:t>
            </w:r>
          </w:p>
        </w:tc>
      </w:tr>
      <w:tr w:rsidR="00542606" w:rsidRPr="00794D06" w:rsidTr="00794D06">
        <w:trPr>
          <w:trHeight w:val="300"/>
        </w:trPr>
        <w:tc>
          <w:tcPr>
            <w:tcW w:w="701" w:type="pct"/>
            <w:tcBorders>
              <w:top w:val="nil"/>
              <w:left w:val="nil"/>
              <w:bottom w:val="nil"/>
              <w:right w:val="nil"/>
            </w:tcBorders>
            <w:shd w:val="clear" w:color="auto" w:fill="auto"/>
            <w:noWrap/>
            <w:vAlign w:val="bottom"/>
            <w:hideMark/>
          </w:tcPr>
          <w:p w:rsidR="00542606" w:rsidRPr="00794D06" w:rsidRDefault="00542606" w:rsidP="00542606">
            <w:pPr>
              <w:rPr>
                <w:rFonts w:cs="Arial"/>
                <w:color w:val="000000"/>
                <w:sz w:val="18"/>
                <w:szCs w:val="18"/>
              </w:rPr>
            </w:pPr>
            <w:r w:rsidRPr="00794D06">
              <w:rPr>
                <w:rFonts w:cs="Arial"/>
                <w:color w:val="000000"/>
                <w:sz w:val="18"/>
                <w:szCs w:val="18"/>
              </w:rPr>
              <w:t>Brøndbyøster</w:t>
            </w:r>
          </w:p>
        </w:tc>
        <w:tc>
          <w:tcPr>
            <w:tcW w:w="477" w:type="pct"/>
            <w:tcBorders>
              <w:top w:val="nil"/>
              <w:left w:val="single" w:sz="4" w:space="0" w:color="auto"/>
              <w:bottom w:val="nil"/>
              <w:right w:val="nil"/>
            </w:tcBorders>
            <w:shd w:val="clear" w:color="auto" w:fill="auto"/>
            <w:noWrap/>
            <w:vAlign w:val="bottom"/>
            <w:hideMark/>
          </w:tcPr>
          <w:p w:rsidR="00542606" w:rsidRPr="00794D06" w:rsidRDefault="00954BB0" w:rsidP="00542606">
            <w:pPr>
              <w:jc w:val="right"/>
              <w:rPr>
                <w:rFonts w:cs="Arial"/>
                <w:color w:val="000000"/>
                <w:sz w:val="18"/>
                <w:szCs w:val="18"/>
              </w:rPr>
            </w:pPr>
            <w:r>
              <w:rPr>
                <w:rFonts w:cs="Arial"/>
                <w:color w:val="000000"/>
                <w:sz w:val="18"/>
                <w:szCs w:val="18"/>
              </w:rPr>
              <w:t>11.816</w:t>
            </w:r>
          </w:p>
        </w:tc>
        <w:tc>
          <w:tcPr>
            <w:tcW w:w="412"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12.116</w:t>
            </w:r>
          </w:p>
        </w:tc>
        <w:tc>
          <w:tcPr>
            <w:tcW w:w="412"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12.067</w:t>
            </w:r>
          </w:p>
        </w:tc>
        <w:tc>
          <w:tcPr>
            <w:tcW w:w="412"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11.986</w:t>
            </w:r>
          </w:p>
        </w:tc>
        <w:tc>
          <w:tcPr>
            <w:tcW w:w="413"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2,59%</w:t>
            </w:r>
          </w:p>
        </w:tc>
        <w:tc>
          <w:tcPr>
            <w:tcW w:w="413"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2,18%</w:t>
            </w:r>
          </w:p>
        </w:tc>
        <w:tc>
          <w:tcPr>
            <w:tcW w:w="413"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1,49%</w:t>
            </w:r>
          </w:p>
        </w:tc>
        <w:tc>
          <w:tcPr>
            <w:tcW w:w="337"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34%</w:t>
            </w:r>
          </w:p>
        </w:tc>
        <w:tc>
          <w:tcPr>
            <w:tcW w:w="337"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33%</w:t>
            </w:r>
          </w:p>
        </w:tc>
        <w:tc>
          <w:tcPr>
            <w:tcW w:w="337"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31%</w:t>
            </w:r>
          </w:p>
        </w:tc>
        <w:tc>
          <w:tcPr>
            <w:tcW w:w="336"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31%</w:t>
            </w:r>
          </w:p>
        </w:tc>
      </w:tr>
      <w:tr w:rsidR="00542606" w:rsidRPr="00794D06" w:rsidTr="00794D06">
        <w:trPr>
          <w:trHeight w:val="300"/>
        </w:trPr>
        <w:tc>
          <w:tcPr>
            <w:tcW w:w="701" w:type="pct"/>
            <w:tcBorders>
              <w:top w:val="nil"/>
              <w:left w:val="nil"/>
              <w:bottom w:val="nil"/>
              <w:right w:val="nil"/>
            </w:tcBorders>
            <w:shd w:val="clear" w:color="auto" w:fill="auto"/>
            <w:noWrap/>
            <w:vAlign w:val="bottom"/>
            <w:hideMark/>
          </w:tcPr>
          <w:p w:rsidR="00542606" w:rsidRPr="00794D06" w:rsidRDefault="00542606" w:rsidP="00542606">
            <w:pPr>
              <w:rPr>
                <w:rFonts w:cs="Arial"/>
                <w:color w:val="000000"/>
                <w:sz w:val="18"/>
                <w:szCs w:val="18"/>
              </w:rPr>
            </w:pPr>
            <w:r w:rsidRPr="00794D06">
              <w:rPr>
                <w:rFonts w:cs="Arial"/>
                <w:color w:val="000000"/>
                <w:sz w:val="18"/>
                <w:szCs w:val="18"/>
              </w:rPr>
              <w:t>Brøndbyvester</w:t>
            </w:r>
          </w:p>
        </w:tc>
        <w:tc>
          <w:tcPr>
            <w:tcW w:w="477"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9.008</w:t>
            </w:r>
          </w:p>
        </w:tc>
        <w:tc>
          <w:tcPr>
            <w:tcW w:w="412"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10.551</w:t>
            </w:r>
          </w:p>
        </w:tc>
        <w:tc>
          <w:tcPr>
            <w:tcW w:w="412"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13.231</w:t>
            </w:r>
          </w:p>
        </w:tc>
        <w:tc>
          <w:tcPr>
            <w:tcW w:w="412"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13.283</w:t>
            </w:r>
          </w:p>
        </w:tc>
        <w:tc>
          <w:tcPr>
            <w:tcW w:w="413"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17,13%</w:t>
            </w:r>
          </w:p>
        </w:tc>
        <w:tc>
          <w:tcPr>
            <w:tcW w:w="413"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46,88%</w:t>
            </w:r>
          </w:p>
        </w:tc>
        <w:tc>
          <w:tcPr>
            <w:tcW w:w="413"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47,45%</w:t>
            </w:r>
          </w:p>
        </w:tc>
        <w:tc>
          <w:tcPr>
            <w:tcW w:w="337" w:type="pct"/>
            <w:tcBorders>
              <w:top w:val="nil"/>
              <w:left w:val="single" w:sz="4" w:space="0" w:color="auto"/>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26%</w:t>
            </w:r>
          </w:p>
        </w:tc>
        <w:tc>
          <w:tcPr>
            <w:tcW w:w="337"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29%</w:t>
            </w:r>
          </w:p>
        </w:tc>
        <w:tc>
          <w:tcPr>
            <w:tcW w:w="337"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34%</w:t>
            </w:r>
          </w:p>
        </w:tc>
        <w:tc>
          <w:tcPr>
            <w:tcW w:w="336" w:type="pct"/>
            <w:tcBorders>
              <w:top w:val="nil"/>
              <w:left w:val="nil"/>
              <w:bottom w:val="nil"/>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34%</w:t>
            </w:r>
          </w:p>
        </w:tc>
      </w:tr>
      <w:tr w:rsidR="00542606" w:rsidRPr="00794D06" w:rsidTr="00794D06">
        <w:trPr>
          <w:trHeight w:val="300"/>
        </w:trPr>
        <w:tc>
          <w:tcPr>
            <w:tcW w:w="701" w:type="pct"/>
            <w:tcBorders>
              <w:top w:val="nil"/>
              <w:left w:val="nil"/>
              <w:bottom w:val="single" w:sz="4" w:space="0" w:color="auto"/>
              <w:right w:val="nil"/>
            </w:tcBorders>
            <w:shd w:val="clear" w:color="auto" w:fill="auto"/>
            <w:noWrap/>
            <w:vAlign w:val="bottom"/>
            <w:hideMark/>
          </w:tcPr>
          <w:p w:rsidR="00542606" w:rsidRPr="00794D06" w:rsidRDefault="00542606" w:rsidP="00542606">
            <w:pPr>
              <w:rPr>
                <w:rFonts w:cs="Arial"/>
                <w:color w:val="000000"/>
                <w:sz w:val="18"/>
                <w:szCs w:val="18"/>
              </w:rPr>
            </w:pPr>
            <w:r w:rsidRPr="00794D06">
              <w:rPr>
                <w:rFonts w:cs="Arial"/>
                <w:color w:val="000000"/>
                <w:sz w:val="18"/>
                <w:szCs w:val="18"/>
              </w:rPr>
              <w:t>Brøndby Strand</w:t>
            </w:r>
          </w:p>
        </w:tc>
        <w:tc>
          <w:tcPr>
            <w:tcW w:w="477" w:type="pct"/>
            <w:tcBorders>
              <w:top w:val="nil"/>
              <w:left w:val="single" w:sz="4" w:space="0" w:color="auto"/>
              <w:bottom w:val="single" w:sz="4" w:space="0" w:color="auto"/>
              <w:right w:val="nil"/>
            </w:tcBorders>
            <w:shd w:val="clear" w:color="auto" w:fill="auto"/>
            <w:noWrap/>
            <w:vAlign w:val="bottom"/>
            <w:hideMark/>
          </w:tcPr>
          <w:p w:rsidR="00542606" w:rsidRPr="00794D06" w:rsidRDefault="00954BB0" w:rsidP="00542606">
            <w:pPr>
              <w:jc w:val="right"/>
              <w:rPr>
                <w:rFonts w:cs="Arial"/>
                <w:color w:val="000000"/>
                <w:sz w:val="18"/>
                <w:szCs w:val="18"/>
              </w:rPr>
            </w:pPr>
            <w:r>
              <w:rPr>
                <w:rFonts w:cs="Arial"/>
                <w:color w:val="000000"/>
                <w:sz w:val="18"/>
                <w:szCs w:val="18"/>
              </w:rPr>
              <w:t>14.139</w:t>
            </w:r>
          </w:p>
        </w:tc>
        <w:tc>
          <w:tcPr>
            <w:tcW w:w="412" w:type="pct"/>
            <w:tcBorders>
              <w:top w:val="nil"/>
              <w:left w:val="single" w:sz="4" w:space="0" w:color="auto"/>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13.873</w:t>
            </w:r>
          </w:p>
        </w:tc>
        <w:tc>
          <w:tcPr>
            <w:tcW w:w="412"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13.616</w:t>
            </w:r>
          </w:p>
        </w:tc>
        <w:tc>
          <w:tcPr>
            <w:tcW w:w="412"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13.770</w:t>
            </w:r>
          </w:p>
        </w:tc>
        <w:tc>
          <w:tcPr>
            <w:tcW w:w="413" w:type="pct"/>
            <w:tcBorders>
              <w:top w:val="nil"/>
              <w:left w:val="single" w:sz="4" w:space="0" w:color="auto"/>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-1,87%</w:t>
            </w:r>
          </w:p>
        </w:tc>
        <w:tc>
          <w:tcPr>
            <w:tcW w:w="413"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-3,69%</w:t>
            </w:r>
          </w:p>
        </w:tc>
        <w:tc>
          <w:tcPr>
            <w:tcW w:w="413"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-2,60%</w:t>
            </w:r>
          </w:p>
        </w:tc>
        <w:tc>
          <w:tcPr>
            <w:tcW w:w="337" w:type="pct"/>
            <w:tcBorders>
              <w:top w:val="nil"/>
              <w:left w:val="single" w:sz="4" w:space="0" w:color="auto"/>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40%</w:t>
            </w:r>
          </w:p>
        </w:tc>
        <w:tc>
          <w:tcPr>
            <w:tcW w:w="337"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38%</w:t>
            </w:r>
          </w:p>
        </w:tc>
        <w:tc>
          <w:tcPr>
            <w:tcW w:w="337"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35%</w:t>
            </w:r>
          </w:p>
        </w:tc>
        <w:tc>
          <w:tcPr>
            <w:tcW w:w="336"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35%</w:t>
            </w:r>
          </w:p>
        </w:tc>
      </w:tr>
      <w:tr w:rsidR="00542606" w:rsidRPr="00794D06" w:rsidTr="00794D06">
        <w:trPr>
          <w:trHeight w:val="300"/>
        </w:trPr>
        <w:tc>
          <w:tcPr>
            <w:tcW w:w="701" w:type="pct"/>
            <w:tcBorders>
              <w:top w:val="nil"/>
              <w:left w:val="nil"/>
              <w:bottom w:val="single" w:sz="4" w:space="0" w:color="auto"/>
              <w:right w:val="nil"/>
            </w:tcBorders>
            <w:shd w:val="clear" w:color="auto" w:fill="auto"/>
            <w:noWrap/>
            <w:vAlign w:val="bottom"/>
            <w:hideMark/>
          </w:tcPr>
          <w:p w:rsidR="00542606" w:rsidRPr="00794D06" w:rsidRDefault="00542606" w:rsidP="00542606">
            <w:pPr>
              <w:rPr>
                <w:rFonts w:cs="Arial"/>
                <w:color w:val="000000"/>
                <w:sz w:val="18"/>
                <w:szCs w:val="18"/>
              </w:rPr>
            </w:pPr>
            <w:r w:rsidRPr="00794D06">
              <w:rPr>
                <w:rFonts w:cs="Arial"/>
                <w:color w:val="000000"/>
                <w:sz w:val="18"/>
                <w:szCs w:val="18"/>
              </w:rPr>
              <w:t>I alt</w:t>
            </w:r>
          </w:p>
        </w:tc>
        <w:tc>
          <w:tcPr>
            <w:tcW w:w="477" w:type="pct"/>
            <w:tcBorders>
              <w:top w:val="nil"/>
              <w:left w:val="single" w:sz="4" w:space="0" w:color="auto"/>
              <w:bottom w:val="single" w:sz="4" w:space="0" w:color="auto"/>
              <w:right w:val="nil"/>
            </w:tcBorders>
            <w:shd w:val="clear" w:color="auto" w:fill="auto"/>
            <w:noWrap/>
            <w:vAlign w:val="bottom"/>
            <w:hideMark/>
          </w:tcPr>
          <w:p w:rsidR="00542606" w:rsidRPr="00794D06" w:rsidRDefault="00954BB0" w:rsidP="00542606">
            <w:pPr>
              <w:jc w:val="right"/>
              <w:rPr>
                <w:rFonts w:cs="Arial"/>
                <w:color w:val="000000"/>
                <w:sz w:val="18"/>
                <w:szCs w:val="18"/>
              </w:rPr>
            </w:pPr>
            <w:r>
              <w:rPr>
                <w:rFonts w:cs="Arial"/>
                <w:color w:val="000000"/>
                <w:sz w:val="18"/>
                <w:szCs w:val="18"/>
              </w:rPr>
              <w:t>34.963</w:t>
            </w:r>
          </w:p>
        </w:tc>
        <w:tc>
          <w:tcPr>
            <w:tcW w:w="412" w:type="pct"/>
            <w:tcBorders>
              <w:top w:val="nil"/>
              <w:left w:val="single" w:sz="4" w:space="0" w:color="auto"/>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36.540</w:t>
            </w:r>
          </w:p>
        </w:tc>
        <w:tc>
          <w:tcPr>
            <w:tcW w:w="412"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38.915</w:t>
            </w:r>
          </w:p>
        </w:tc>
        <w:tc>
          <w:tcPr>
            <w:tcW w:w="412"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39.039</w:t>
            </w:r>
          </w:p>
        </w:tc>
        <w:tc>
          <w:tcPr>
            <w:tcW w:w="413" w:type="pct"/>
            <w:tcBorders>
              <w:top w:val="nil"/>
              <w:left w:val="single" w:sz="4" w:space="0" w:color="auto"/>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4,53%</w:t>
            </w:r>
          </w:p>
        </w:tc>
        <w:tc>
          <w:tcPr>
            <w:tcW w:w="413"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11,33%</w:t>
            </w:r>
          </w:p>
        </w:tc>
        <w:tc>
          <w:tcPr>
            <w:tcW w:w="413"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11,68%</w:t>
            </w:r>
          </w:p>
        </w:tc>
        <w:tc>
          <w:tcPr>
            <w:tcW w:w="337" w:type="pct"/>
            <w:tcBorders>
              <w:top w:val="nil"/>
              <w:left w:val="single" w:sz="4" w:space="0" w:color="auto"/>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100%</w:t>
            </w:r>
          </w:p>
        </w:tc>
        <w:tc>
          <w:tcPr>
            <w:tcW w:w="337"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100%</w:t>
            </w:r>
          </w:p>
        </w:tc>
        <w:tc>
          <w:tcPr>
            <w:tcW w:w="337"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100%</w:t>
            </w:r>
          </w:p>
        </w:tc>
        <w:tc>
          <w:tcPr>
            <w:tcW w:w="336" w:type="pct"/>
            <w:tcBorders>
              <w:top w:val="nil"/>
              <w:left w:val="nil"/>
              <w:bottom w:val="single" w:sz="4" w:space="0" w:color="auto"/>
              <w:right w:val="nil"/>
            </w:tcBorders>
            <w:shd w:val="clear" w:color="auto" w:fill="auto"/>
            <w:noWrap/>
            <w:vAlign w:val="bottom"/>
            <w:hideMark/>
          </w:tcPr>
          <w:p w:rsidR="00542606" w:rsidRPr="00794D06" w:rsidRDefault="00542606" w:rsidP="00542606">
            <w:pPr>
              <w:jc w:val="right"/>
              <w:rPr>
                <w:rFonts w:cs="Arial"/>
                <w:color w:val="000000"/>
                <w:sz w:val="18"/>
                <w:szCs w:val="18"/>
              </w:rPr>
            </w:pPr>
            <w:r w:rsidRPr="00794D06">
              <w:rPr>
                <w:rFonts w:cs="Arial"/>
                <w:color w:val="000000"/>
                <w:sz w:val="18"/>
                <w:szCs w:val="18"/>
              </w:rPr>
              <w:t>100%</w:t>
            </w:r>
          </w:p>
        </w:tc>
      </w:tr>
    </w:tbl>
    <w:p w:rsidR="00794D06" w:rsidRPr="00BA20C9" w:rsidRDefault="00794D06" w:rsidP="00794D06">
      <w:pPr>
        <w:rPr>
          <w:sz w:val="18"/>
          <w:szCs w:val="18"/>
        </w:rPr>
      </w:pPr>
      <w:r w:rsidRPr="00BA20C9">
        <w:rPr>
          <w:sz w:val="18"/>
          <w:szCs w:val="18"/>
        </w:rPr>
        <w:t>Kilde: DemoGrafix, egne beregninger</w:t>
      </w:r>
    </w:p>
    <w:p w:rsidR="006D04C4" w:rsidRDefault="00794D06" w:rsidP="00794D06">
      <w:pPr>
        <w:rPr>
          <w:highlight w:val="yellow"/>
        </w:rPr>
      </w:pPr>
      <w:r w:rsidRPr="00BA20C9">
        <w:rPr>
          <w:sz w:val="18"/>
          <w:szCs w:val="18"/>
        </w:rPr>
        <w:t xml:space="preserve">Note: </w:t>
      </w:r>
      <w:r>
        <w:rPr>
          <w:sz w:val="18"/>
          <w:szCs w:val="18"/>
        </w:rPr>
        <w:t>S</w:t>
      </w:r>
      <w:r w:rsidRPr="00BA20C9">
        <w:rPr>
          <w:sz w:val="18"/>
          <w:szCs w:val="18"/>
        </w:rPr>
        <w:t>ummen af de tre bydele ikke stemmer</w:t>
      </w:r>
      <w:r>
        <w:rPr>
          <w:sz w:val="18"/>
          <w:szCs w:val="18"/>
        </w:rPr>
        <w:t xml:space="preserve"> ikke med totaltallet for fordi der i tabellen er udeladt de administrative korrektioner</w:t>
      </w:r>
      <w:r w:rsidRPr="00BA20C9">
        <w:rPr>
          <w:sz w:val="18"/>
          <w:szCs w:val="18"/>
        </w:rPr>
        <w:t xml:space="preserve">. </w:t>
      </w:r>
      <w:r>
        <w:rPr>
          <w:sz w:val="18"/>
          <w:szCs w:val="18"/>
        </w:rPr>
        <w:t>T</w:t>
      </w:r>
      <w:r w:rsidRPr="00BA20C9">
        <w:rPr>
          <w:sz w:val="18"/>
          <w:szCs w:val="18"/>
        </w:rPr>
        <w:t xml:space="preserve">eknisk set </w:t>
      </w:r>
      <w:r>
        <w:rPr>
          <w:sz w:val="18"/>
          <w:szCs w:val="18"/>
        </w:rPr>
        <w:t xml:space="preserve">er det </w:t>
      </w:r>
      <w:r w:rsidRPr="00BA20C9">
        <w:rPr>
          <w:sz w:val="18"/>
          <w:szCs w:val="18"/>
        </w:rPr>
        <w:t>adresseløse</w:t>
      </w:r>
      <w:r>
        <w:rPr>
          <w:sz w:val="18"/>
          <w:szCs w:val="18"/>
        </w:rPr>
        <w:t xml:space="preserve"> personer</w:t>
      </w:r>
      <w:r w:rsidRPr="00BA20C9">
        <w:rPr>
          <w:sz w:val="18"/>
          <w:szCs w:val="18"/>
        </w:rPr>
        <w:t>.</w:t>
      </w:r>
    </w:p>
    <w:p w:rsidR="00822435" w:rsidRPr="00D30D29" w:rsidRDefault="00822435" w:rsidP="006D04C4">
      <w:pPr>
        <w:rPr>
          <w:highlight w:val="yellow"/>
        </w:rPr>
      </w:pPr>
    </w:p>
    <w:p w:rsidR="006D04C4" w:rsidRPr="004A638D" w:rsidRDefault="006D04C4" w:rsidP="006D04C4">
      <w:r w:rsidRPr="004A638D">
        <w:t>Tabellen illustrerer, hvorledes udviklingstendenserne for de tre bydele adskiller sig fra hinanden. Overordnet set bliver der flere borgere i alle tre bydele. Det er primært i Brøndbyvester der sker den største udvikling både på kort og mellemlang sigt. Dette afspejler sig også i befolkningsfordelingen mellem de tre bydele.</w:t>
      </w:r>
    </w:p>
    <w:p w:rsidR="006D04C4" w:rsidRPr="00822435" w:rsidRDefault="006D04C4" w:rsidP="006D04C4">
      <w:pPr>
        <w:rPr>
          <w:highlight w:val="yellow"/>
        </w:rPr>
      </w:pPr>
    </w:p>
    <w:p w:rsidR="006D04C4" w:rsidRPr="0056585B" w:rsidRDefault="004A638D" w:rsidP="006D04C4">
      <w:r w:rsidRPr="0056585B">
        <w:t>På kort sigt – dvs. fra 2020-2023</w:t>
      </w:r>
      <w:r w:rsidR="006D04C4" w:rsidRPr="0056585B">
        <w:t xml:space="preserve"> – forudser prognosen stigninger i to bydele men hvor der er et mindre fald i Brøndby Strand. I Brøndbyvester for</w:t>
      </w:r>
      <w:r w:rsidR="0056585B" w:rsidRPr="0056585B">
        <w:t>ventes der en stigning på 17,1</w:t>
      </w:r>
      <w:r w:rsidR="006D04C4" w:rsidRPr="0056585B">
        <w:t xml:space="preserve"> pct., svarende til </w:t>
      </w:r>
      <w:r w:rsidR="0056585B" w:rsidRPr="0056585B">
        <w:t>1.543</w:t>
      </w:r>
      <w:r w:rsidR="006D04C4" w:rsidRPr="0056585B">
        <w:t xml:space="preserve"> personer, mens der i Brøndbyøster forven</w:t>
      </w:r>
      <w:r w:rsidR="0056585B" w:rsidRPr="0056585B">
        <w:t>tes en stigning på 2,6</w:t>
      </w:r>
      <w:r w:rsidR="006D04C4" w:rsidRPr="0056585B">
        <w:t xml:space="preserve"> pct.,</w:t>
      </w:r>
      <w:r w:rsidR="0056585B" w:rsidRPr="0056585B">
        <w:t xml:space="preserve"> hvilket svarer til 306</w:t>
      </w:r>
      <w:r w:rsidR="006D04C4" w:rsidRPr="0056585B">
        <w:t xml:space="preserve"> personer. Faldet i Brøndby Strand forventes at lande på </w:t>
      </w:r>
      <w:r w:rsidR="0056585B" w:rsidRPr="0056585B">
        <w:t>-1,9</w:t>
      </w:r>
      <w:r w:rsidR="006D04C4" w:rsidRPr="0056585B">
        <w:t xml:space="preserve"> pct., svarende til</w:t>
      </w:r>
      <w:r w:rsidR="0056585B" w:rsidRPr="0056585B">
        <w:t xml:space="preserve"> et fald på 265</w:t>
      </w:r>
      <w:r w:rsidR="006D04C4" w:rsidRPr="0056585B">
        <w:t xml:space="preserve"> personer. </w:t>
      </w:r>
      <w:r w:rsidR="00647828" w:rsidRPr="0056585B">
        <w:t>Dette er også i tråd med de lejligheder der ikke længere kan beboes og den genhusning der har været foretaget.</w:t>
      </w:r>
      <w:r w:rsidR="006D04C4" w:rsidRPr="0056585B">
        <w:t xml:space="preserve"> </w:t>
      </w:r>
    </w:p>
    <w:p w:rsidR="006D04C4" w:rsidRPr="00822435" w:rsidRDefault="006D04C4" w:rsidP="006D04C4">
      <w:pPr>
        <w:rPr>
          <w:highlight w:val="yellow"/>
        </w:rPr>
      </w:pPr>
    </w:p>
    <w:p w:rsidR="006D04C4" w:rsidRPr="0056585B" w:rsidRDefault="006D04C4" w:rsidP="006D04C4">
      <w:r w:rsidRPr="0056585B">
        <w:t>P</w:t>
      </w:r>
      <w:r w:rsidR="0056585B" w:rsidRPr="0056585B">
        <w:t>å mellemlang sigt – dvs. fra 2020</w:t>
      </w:r>
      <w:r w:rsidRPr="0056585B">
        <w:t>-202</w:t>
      </w:r>
      <w:r w:rsidR="0056585B" w:rsidRPr="0056585B">
        <w:t>6</w:t>
      </w:r>
      <w:r w:rsidRPr="0056585B">
        <w:t xml:space="preserve"> – forventer modellen et lignende billede af udviklingen som på kort sigt. Dog er stigningen i Brøndbyvester markant højere end de to øvrige bydele med en stig</w:t>
      </w:r>
      <w:r w:rsidR="0056585B" w:rsidRPr="0056585B">
        <w:t>ning på i alt 46,9</w:t>
      </w:r>
      <w:r w:rsidRPr="0056585B">
        <w:t xml:space="preserve"> pc</w:t>
      </w:r>
      <w:r w:rsidR="0056585B" w:rsidRPr="0056585B">
        <w:t>t., svarende til 4.223</w:t>
      </w:r>
      <w:r w:rsidRPr="0056585B">
        <w:t xml:space="preserve"> personer. i Brøndbyøster forventes en mindre stigning på </w:t>
      </w:r>
      <w:r w:rsidR="00647828" w:rsidRPr="0056585B">
        <w:t>2</w:t>
      </w:r>
      <w:r w:rsidR="0056585B" w:rsidRPr="0056585B">
        <w:t>,2</w:t>
      </w:r>
      <w:r w:rsidRPr="0056585B">
        <w:t xml:space="preserve"> pct., mens Brøndby Strand forventes at falde med</w:t>
      </w:r>
      <w:r w:rsidR="0056585B" w:rsidRPr="0056585B">
        <w:t xml:space="preserve"> 3,7</w:t>
      </w:r>
      <w:r w:rsidRPr="0056585B">
        <w:t xml:space="preserve"> pct</w:t>
      </w:r>
      <w:r w:rsidR="00647828" w:rsidRPr="0056585B">
        <w:t>.</w:t>
      </w:r>
    </w:p>
    <w:p w:rsidR="00647828" w:rsidRPr="0056585B" w:rsidRDefault="00647828" w:rsidP="006D04C4"/>
    <w:p w:rsidR="006D04C4" w:rsidRPr="0056585B" w:rsidRDefault="006D04C4" w:rsidP="006D04C4">
      <w:r w:rsidRPr="0056585B">
        <w:lastRenderedPageBreak/>
        <w:t xml:space="preserve">På lang sigt – dvs. fra </w:t>
      </w:r>
      <w:r w:rsidR="0056585B" w:rsidRPr="0056585B">
        <w:t>2020-2030</w:t>
      </w:r>
      <w:r w:rsidRPr="0056585B">
        <w:t xml:space="preserve"> – er der tale om en stigning på </w:t>
      </w:r>
      <w:r w:rsidR="0056585B" w:rsidRPr="0056585B">
        <w:t>hele 47,5</w:t>
      </w:r>
      <w:r w:rsidRPr="0056585B">
        <w:t xml:space="preserve"> pct. for Brøndbyvester,</w:t>
      </w:r>
      <w:r w:rsidR="0056585B" w:rsidRPr="0056585B">
        <w:t xml:space="preserve"> hvilket svarer til 4.275</w:t>
      </w:r>
      <w:r w:rsidRPr="0056585B">
        <w:t xml:space="preserve"> nye personer i bydelen. Brøndbyøster forventes at være</w:t>
      </w:r>
      <w:r w:rsidR="00647828" w:rsidRPr="0056585B">
        <w:t xml:space="preserve"> svagt stigende</w:t>
      </w:r>
      <w:r w:rsidRPr="0056585B">
        <w:t xml:space="preserve"> med </w:t>
      </w:r>
      <w:r w:rsidR="0056585B" w:rsidRPr="0056585B">
        <w:t>1,5</w:t>
      </w:r>
      <w:r w:rsidRPr="0056585B">
        <w:t xml:space="preserve"> pct. i forhold til udgangs</w:t>
      </w:r>
      <w:r w:rsidR="0056585B" w:rsidRPr="0056585B">
        <w:t>året, 2020</w:t>
      </w:r>
      <w:r w:rsidRPr="0056585B">
        <w:t>.</w:t>
      </w:r>
      <w:r w:rsidR="00647828" w:rsidRPr="0056585B">
        <w:t xml:space="preserve"> Med andre ord så aftager udviklingen i denne by</w:t>
      </w:r>
      <w:r w:rsidR="0056585B" w:rsidRPr="0056585B">
        <w:t>del jo tættere vi kommer på 2030</w:t>
      </w:r>
      <w:r w:rsidR="00647828" w:rsidRPr="0056585B">
        <w:t>.</w:t>
      </w:r>
      <w:r w:rsidRPr="0056585B">
        <w:t xml:space="preserve"> I Brøndby Strand forudsiger prognosen,</w:t>
      </w:r>
      <w:r w:rsidR="0056585B" w:rsidRPr="0056585B">
        <w:t xml:space="preserve"> at befolkningstallet samlet falder med 2,6 pct</w:t>
      </w:r>
      <w:r w:rsidRPr="0056585B">
        <w:t xml:space="preserve">. </w:t>
      </w:r>
    </w:p>
    <w:p w:rsidR="006D04C4" w:rsidRPr="00822435" w:rsidRDefault="006D04C4" w:rsidP="006D04C4">
      <w:pPr>
        <w:rPr>
          <w:highlight w:val="yellow"/>
        </w:rPr>
      </w:pPr>
    </w:p>
    <w:p w:rsidR="006D04C4" w:rsidRPr="0056585B" w:rsidRDefault="006D04C4" w:rsidP="006D04C4">
      <w:r w:rsidRPr="0056585B">
        <w:t>Brøndb</w:t>
      </w:r>
      <w:r w:rsidR="0056585B" w:rsidRPr="0056585B">
        <w:t>yvester går fra at udgøre ca. 26,0</w:t>
      </w:r>
      <w:r w:rsidRPr="0056585B">
        <w:t xml:space="preserve"> pct. af byens befolkning til at udgøre c</w:t>
      </w:r>
      <w:r w:rsidR="0056585B" w:rsidRPr="0056585B">
        <w:t>a. 34</w:t>
      </w:r>
      <w:r w:rsidR="00647828" w:rsidRPr="0056585B">
        <w:t>,0</w:t>
      </w:r>
      <w:r w:rsidRPr="0056585B">
        <w:t xml:space="preserve"> pct., mens Brøndbyøste</w:t>
      </w:r>
      <w:r w:rsidR="00647828" w:rsidRPr="0056585B">
        <w:t>r reduceres fra at udgøre ca. 34,0</w:t>
      </w:r>
      <w:r w:rsidRPr="0056585B">
        <w:t xml:space="preserve"> pct. til at u</w:t>
      </w:r>
      <w:r w:rsidR="00647828" w:rsidRPr="0056585B">
        <w:t>dgøre ca. 31</w:t>
      </w:r>
      <w:r w:rsidRPr="0056585B">
        <w:t xml:space="preserve">,0 pct. og bliver i </w:t>
      </w:r>
      <w:r w:rsidR="0056585B" w:rsidRPr="0056585B">
        <w:t xml:space="preserve">nogenlunde </w:t>
      </w:r>
      <w:r w:rsidRPr="0056585B">
        <w:t>samme størrelsesorden som Brøndbyvester rent befolkningsmæssigt. Brøndby Strands andel af det samled</w:t>
      </w:r>
      <w:r w:rsidR="0056585B" w:rsidRPr="0056585B">
        <w:t>e befolkningstal falder fra 40</w:t>
      </w:r>
      <w:r w:rsidR="00647828" w:rsidRPr="0056585B">
        <w:t>,0</w:t>
      </w:r>
      <w:r w:rsidRPr="0056585B">
        <w:t xml:space="preserve"> pct.</w:t>
      </w:r>
      <w:r w:rsidR="0056585B" w:rsidRPr="0056585B">
        <w:t xml:space="preserve"> til 35</w:t>
      </w:r>
      <w:r w:rsidR="00647828" w:rsidRPr="0056585B">
        <w:t>,0</w:t>
      </w:r>
      <w:r w:rsidRPr="0056585B">
        <w:t xml:space="preserve"> pct. Udviklingen medvirker til at bydelene på sigt bliver mere ensartede rent befolkningsmæssigt.</w:t>
      </w:r>
    </w:p>
    <w:p w:rsidR="006D04C4" w:rsidRPr="00822435" w:rsidRDefault="006D04C4" w:rsidP="006D04C4">
      <w:pPr>
        <w:rPr>
          <w:highlight w:val="yellow"/>
        </w:rPr>
      </w:pPr>
    </w:p>
    <w:p w:rsidR="004639A0" w:rsidRDefault="006D04C4" w:rsidP="006D04C4">
      <w:r w:rsidRPr="0056585B">
        <w:t xml:space="preserve">Forklaringen på den forskelligartede udvikling mellem bydelene </w:t>
      </w:r>
      <w:r w:rsidRPr="0056585B">
        <w:rPr>
          <w:i/>
        </w:rPr>
        <w:t>på lang sigt</w:t>
      </w:r>
      <w:r w:rsidRPr="0056585B">
        <w:t xml:space="preserve"> skal først og fremmest findes i de boligudbygningsforventninger/-planer, som er lagt ind i modellens beregningsgrundlag, selvfølgelig kombineret med parametre for udtynding/fortætning, fertilitet og dødelighed samt befolkningssammensætningen i udgangsåret. </w:t>
      </w:r>
    </w:p>
    <w:p w:rsidR="004639A0" w:rsidRDefault="004639A0" w:rsidP="006D04C4"/>
    <w:p w:rsidR="006D04C4" w:rsidRPr="00B501B5" w:rsidRDefault="006D04C4" w:rsidP="006D04C4">
      <w:r w:rsidRPr="0056585B">
        <w:t xml:space="preserve">Brøndby Kommunes planmæssige udbygningsforventninger </w:t>
      </w:r>
      <w:r w:rsidR="00647828" w:rsidRPr="0056585B">
        <w:t xml:space="preserve">er </w:t>
      </w:r>
      <w:r w:rsidRPr="0056585B">
        <w:t xml:space="preserve">størst i Brøndbyvester (planerne for Kirkebjerg) </w:t>
      </w:r>
      <w:r w:rsidR="00647828" w:rsidRPr="0056585B">
        <w:t>mens der i</w:t>
      </w:r>
      <w:r w:rsidRPr="0056585B">
        <w:t xml:space="preserve"> Brøndby Strand</w:t>
      </w:r>
      <w:r w:rsidR="0056585B">
        <w:t xml:space="preserve"> er ”fjernet”</w:t>
      </w:r>
      <w:r w:rsidR="00647828" w:rsidRPr="0056585B">
        <w:t xml:space="preserve"> lejemål </w:t>
      </w:r>
      <w:r w:rsidR="0056585B">
        <w:t xml:space="preserve">svarende til fire højhuse </w:t>
      </w:r>
      <w:r w:rsidR="00647828" w:rsidRPr="0056585B">
        <w:t>i prognosen da de skal rives ned. Dette har selvfølgelig en betydning for de beregninger prognosen foretager. O</w:t>
      </w:r>
      <w:r w:rsidRPr="0056585B">
        <w:t>pførelse</w:t>
      </w:r>
      <w:r w:rsidR="00647828" w:rsidRPr="0056585B">
        <w:t>n</w:t>
      </w:r>
      <w:r w:rsidRPr="0056585B">
        <w:t xml:space="preserve"> af ungdomsboliger og lejligheder på Brøndbyøster Boulevard</w:t>
      </w:r>
      <w:r w:rsidR="00C032A8" w:rsidRPr="0056585B">
        <w:t xml:space="preserve"> giver også en positiv udvikling i Brøndbyøster.</w:t>
      </w:r>
      <w:r w:rsidR="00C032A8">
        <w:t xml:space="preserve"> </w:t>
      </w:r>
    </w:p>
    <w:p w:rsidR="006D04C4" w:rsidRPr="00850E82" w:rsidRDefault="006D04C4" w:rsidP="006D04C4">
      <w:pPr>
        <w:pStyle w:val="Overskrift3"/>
        <w:numPr>
          <w:ilvl w:val="2"/>
          <w:numId w:val="5"/>
        </w:numPr>
        <w:tabs>
          <w:tab w:val="clear" w:pos="720"/>
        </w:tabs>
      </w:pPr>
      <w:r w:rsidRPr="00D30D29">
        <w:rPr>
          <w:highlight w:val="yellow"/>
        </w:rPr>
        <w:br w:type="page"/>
      </w:r>
      <w:bookmarkStart w:id="24" w:name="_Toc38356011"/>
      <w:r>
        <w:lastRenderedPageBreak/>
        <w:t>Aldersfordelt befolkn</w:t>
      </w:r>
      <w:r w:rsidRPr="00850E82">
        <w:t>ingsfremskrivning for Brøndby</w:t>
      </w:r>
      <w:r w:rsidR="006C55DE">
        <w:t>øster</w:t>
      </w:r>
      <w:bookmarkEnd w:id="24"/>
    </w:p>
    <w:p w:rsidR="006D04C4" w:rsidRPr="004639A0" w:rsidRDefault="006D04C4" w:rsidP="006D04C4">
      <w:r>
        <w:t>T</w:t>
      </w:r>
      <w:r w:rsidR="006C55DE">
        <w:t xml:space="preserve">abel </w:t>
      </w:r>
      <w:r w:rsidR="006C55DE" w:rsidRPr="004639A0">
        <w:t>10</w:t>
      </w:r>
      <w:r w:rsidRPr="004639A0">
        <w:t xml:space="preserve"> nedenfor viser den aldersfordelte befolkningsfremskrivning </w:t>
      </w:r>
      <w:r w:rsidR="006C55DE" w:rsidRPr="004639A0">
        <w:t>for Brøndbyøste</w:t>
      </w:r>
      <w:r w:rsidR="004639A0" w:rsidRPr="004639A0">
        <w:t>r for årene 2021-2023.</w:t>
      </w:r>
    </w:p>
    <w:p w:rsidR="006D04C4" w:rsidRPr="004639A0" w:rsidRDefault="006D04C4" w:rsidP="006D04C4"/>
    <w:p w:rsidR="006D04C4" w:rsidRDefault="006D04C4" w:rsidP="006D04C4">
      <w:r w:rsidRPr="004639A0">
        <w:t>Som det fremgår af tabellen, forventes det sa</w:t>
      </w:r>
      <w:r w:rsidR="006C55DE" w:rsidRPr="004639A0">
        <w:t xml:space="preserve">mlede befolkningstal </w:t>
      </w:r>
      <w:r w:rsidR="00E24710">
        <w:t xml:space="preserve">i Brøndbyøster at stige fra </w:t>
      </w:r>
      <w:r w:rsidR="00EA5F14">
        <w:t>2020-2023 med 2,6 pct. eller 302</w:t>
      </w:r>
      <w:r w:rsidRPr="004639A0">
        <w:t xml:space="preserve"> personer.</w:t>
      </w:r>
    </w:p>
    <w:p w:rsidR="006C55DE" w:rsidRDefault="006C55DE" w:rsidP="006D04C4"/>
    <w:tbl>
      <w:tblPr>
        <w:tblW w:w="5000" w:type="pct"/>
        <w:tblCellMar>
          <w:left w:w="70" w:type="dxa"/>
          <w:right w:w="70" w:type="dxa"/>
        </w:tblCellMar>
        <w:tblLook w:val="04A0" w:firstRow="1" w:lastRow="0" w:firstColumn="1" w:lastColumn="0" w:noHBand="0" w:noVBand="1"/>
      </w:tblPr>
      <w:tblGrid>
        <w:gridCol w:w="1291"/>
        <w:gridCol w:w="1070"/>
        <w:gridCol w:w="1070"/>
        <w:gridCol w:w="1070"/>
        <w:gridCol w:w="1070"/>
        <w:gridCol w:w="1070"/>
        <w:gridCol w:w="1070"/>
        <w:gridCol w:w="862"/>
        <w:gridCol w:w="1066"/>
      </w:tblGrid>
      <w:tr w:rsidR="00926100" w:rsidRPr="00926100" w:rsidTr="00926100">
        <w:trPr>
          <w:trHeight w:val="300"/>
        </w:trPr>
        <w:tc>
          <w:tcPr>
            <w:tcW w:w="5000" w:type="pct"/>
            <w:gridSpan w:val="9"/>
            <w:tcBorders>
              <w:top w:val="nil"/>
              <w:left w:val="nil"/>
              <w:bottom w:val="single" w:sz="4" w:space="0" w:color="auto"/>
              <w:right w:val="nil"/>
            </w:tcBorders>
            <w:shd w:val="clear" w:color="auto" w:fill="auto"/>
            <w:noWrap/>
            <w:vAlign w:val="bottom"/>
            <w:hideMark/>
          </w:tcPr>
          <w:p w:rsidR="00926100" w:rsidRPr="00926100" w:rsidRDefault="00926100" w:rsidP="00926100">
            <w:pPr>
              <w:rPr>
                <w:rFonts w:ascii="Calibri" w:hAnsi="Calibri" w:cs="Calibri"/>
                <w:color w:val="000000"/>
                <w:sz w:val="18"/>
                <w:szCs w:val="18"/>
              </w:rPr>
            </w:pPr>
            <w:r w:rsidRPr="00926100">
              <w:rPr>
                <w:rFonts w:ascii="Calibri" w:hAnsi="Calibri" w:cs="Calibri"/>
                <w:b/>
                <w:color w:val="000000"/>
                <w:sz w:val="18"/>
                <w:szCs w:val="18"/>
              </w:rPr>
              <w:t>Tabel 10</w:t>
            </w:r>
            <w:r w:rsidRPr="00926100">
              <w:rPr>
                <w:rFonts w:ascii="Calibri" w:hAnsi="Calibri" w:cs="Calibri"/>
                <w:color w:val="000000"/>
                <w:sz w:val="18"/>
                <w:szCs w:val="18"/>
              </w:rPr>
              <w:t>. Aldersfordelt befolkningsfremskrivning for Brøndbyøster.</w:t>
            </w:r>
          </w:p>
        </w:tc>
      </w:tr>
      <w:tr w:rsidR="00926100" w:rsidRPr="00926100" w:rsidTr="00926100">
        <w:trPr>
          <w:trHeight w:val="300"/>
        </w:trPr>
        <w:tc>
          <w:tcPr>
            <w:tcW w:w="670"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color w:val="000000"/>
                <w:sz w:val="18"/>
                <w:szCs w:val="18"/>
              </w:rPr>
            </w:pPr>
          </w:p>
        </w:tc>
        <w:tc>
          <w:tcPr>
            <w:tcW w:w="1665" w:type="pct"/>
            <w:gridSpan w:val="3"/>
            <w:tcBorders>
              <w:top w:val="single" w:sz="4" w:space="0" w:color="auto"/>
              <w:left w:val="single" w:sz="4" w:space="0" w:color="auto"/>
              <w:bottom w:val="nil"/>
              <w:right w:val="single" w:sz="4" w:space="0" w:color="000000"/>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Historik</w:t>
            </w:r>
          </w:p>
        </w:tc>
        <w:tc>
          <w:tcPr>
            <w:tcW w:w="1665" w:type="pct"/>
            <w:gridSpan w:val="3"/>
            <w:tcBorders>
              <w:top w:val="single" w:sz="4" w:space="0" w:color="auto"/>
              <w:left w:val="nil"/>
              <w:bottom w:val="nil"/>
              <w:right w:val="single" w:sz="4" w:space="0" w:color="000000"/>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Prognose</w:t>
            </w:r>
          </w:p>
        </w:tc>
        <w:tc>
          <w:tcPr>
            <w:tcW w:w="1000" w:type="pct"/>
            <w:gridSpan w:val="2"/>
            <w:tcBorders>
              <w:top w:val="nil"/>
              <w:left w:val="nil"/>
              <w:bottom w:val="nil"/>
              <w:right w:val="nil"/>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Ændring fra 2020-2023</w:t>
            </w:r>
          </w:p>
        </w:tc>
      </w:tr>
      <w:tr w:rsidR="00926100" w:rsidRPr="00926100" w:rsidTr="00926100">
        <w:trPr>
          <w:trHeight w:val="300"/>
        </w:trPr>
        <w:tc>
          <w:tcPr>
            <w:tcW w:w="670" w:type="pct"/>
            <w:tcBorders>
              <w:top w:val="nil"/>
              <w:left w:val="nil"/>
              <w:bottom w:val="single" w:sz="4" w:space="0" w:color="auto"/>
              <w:right w:val="nil"/>
            </w:tcBorders>
            <w:shd w:val="clear" w:color="auto" w:fill="auto"/>
            <w:noWrap/>
            <w:vAlign w:val="bottom"/>
            <w:hideMark/>
          </w:tcPr>
          <w:p w:rsidR="00926100" w:rsidRPr="00926100" w:rsidRDefault="00926100" w:rsidP="00926100">
            <w:pPr>
              <w:rPr>
                <w:rFonts w:ascii="Calibri" w:hAnsi="Calibri" w:cs="Calibri"/>
                <w:color w:val="000000"/>
                <w:sz w:val="18"/>
                <w:szCs w:val="18"/>
              </w:rPr>
            </w:pPr>
            <w:r w:rsidRPr="00926100">
              <w:rPr>
                <w:rFonts w:ascii="Calibri" w:hAnsi="Calibri" w:cs="Calibri"/>
                <w:color w:val="000000"/>
                <w:sz w:val="18"/>
                <w:szCs w:val="18"/>
              </w:rPr>
              <w:t> </w:t>
            </w:r>
          </w:p>
        </w:tc>
        <w:tc>
          <w:tcPr>
            <w:tcW w:w="555" w:type="pct"/>
            <w:tcBorders>
              <w:top w:val="nil"/>
              <w:left w:val="single" w:sz="4" w:space="0" w:color="auto"/>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2018</w:t>
            </w:r>
          </w:p>
        </w:tc>
        <w:tc>
          <w:tcPr>
            <w:tcW w:w="555"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2019</w:t>
            </w:r>
          </w:p>
        </w:tc>
        <w:tc>
          <w:tcPr>
            <w:tcW w:w="555" w:type="pct"/>
            <w:tcBorders>
              <w:top w:val="nil"/>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2020</w:t>
            </w:r>
          </w:p>
        </w:tc>
        <w:tc>
          <w:tcPr>
            <w:tcW w:w="555"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2021</w:t>
            </w:r>
          </w:p>
        </w:tc>
        <w:tc>
          <w:tcPr>
            <w:tcW w:w="555"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2022</w:t>
            </w:r>
          </w:p>
        </w:tc>
        <w:tc>
          <w:tcPr>
            <w:tcW w:w="555" w:type="pct"/>
            <w:tcBorders>
              <w:top w:val="nil"/>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2023</w:t>
            </w:r>
          </w:p>
        </w:tc>
        <w:tc>
          <w:tcPr>
            <w:tcW w:w="447"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Antal</w:t>
            </w:r>
          </w:p>
        </w:tc>
        <w:tc>
          <w:tcPr>
            <w:tcW w:w="553"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w:t>
            </w:r>
          </w:p>
        </w:tc>
      </w:tr>
      <w:tr w:rsidR="00926100" w:rsidRPr="00926100" w:rsidTr="00926100">
        <w:trPr>
          <w:trHeight w:val="300"/>
        </w:trPr>
        <w:tc>
          <w:tcPr>
            <w:tcW w:w="670"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0-5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808</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846</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808</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809</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817</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809</w:t>
            </w:r>
          </w:p>
        </w:tc>
        <w:tc>
          <w:tcPr>
            <w:tcW w:w="447"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w:t>
            </w:r>
          </w:p>
        </w:tc>
        <w:tc>
          <w:tcPr>
            <w:tcW w:w="553"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0,12%</w:t>
            </w:r>
          </w:p>
        </w:tc>
      </w:tr>
      <w:tr w:rsidR="00926100" w:rsidRPr="00926100" w:rsidTr="00926100">
        <w:trPr>
          <w:trHeight w:val="300"/>
        </w:trPr>
        <w:tc>
          <w:tcPr>
            <w:tcW w:w="670"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6-16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1.212</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1.238</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1.259</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1.272</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1.300</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1.338</w:t>
            </w:r>
          </w:p>
        </w:tc>
        <w:tc>
          <w:tcPr>
            <w:tcW w:w="447"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79</w:t>
            </w:r>
          </w:p>
        </w:tc>
        <w:tc>
          <w:tcPr>
            <w:tcW w:w="553"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6,28%</w:t>
            </w:r>
          </w:p>
        </w:tc>
      </w:tr>
      <w:tr w:rsidR="00926100" w:rsidRPr="00926100" w:rsidTr="00926100">
        <w:trPr>
          <w:trHeight w:val="300"/>
        </w:trPr>
        <w:tc>
          <w:tcPr>
            <w:tcW w:w="670"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17-66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7.372</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7.389</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7.315</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7.505</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7.563</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7.592</w:t>
            </w:r>
          </w:p>
        </w:tc>
        <w:tc>
          <w:tcPr>
            <w:tcW w:w="447"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277</w:t>
            </w:r>
          </w:p>
        </w:tc>
        <w:tc>
          <w:tcPr>
            <w:tcW w:w="553"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3,79%</w:t>
            </w:r>
          </w:p>
        </w:tc>
      </w:tr>
      <w:tr w:rsidR="00926100" w:rsidRPr="00926100" w:rsidTr="00926100">
        <w:trPr>
          <w:trHeight w:val="300"/>
        </w:trPr>
        <w:tc>
          <w:tcPr>
            <w:tcW w:w="670"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67-79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1.656</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1.675</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1.652</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1.636</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1.619</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1.613</w:t>
            </w:r>
          </w:p>
        </w:tc>
        <w:tc>
          <w:tcPr>
            <w:tcW w:w="447"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-39</w:t>
            </w:r>
          </w:p>
        </w:tc>
        <w:tc>
          <w:tcPr>
            <w:tcW w:w="553"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-2,35%</w:t>
            </w:r>
          </w:p>
        </w:tc>
      </w:tr>
      <w:tr w:rsidR="00926100" w:rsidRPr="00926100" w:rsidTr="00926100">
        <w:trPr>
          <w:trHeight w:val="300"/>
        </w:trPr>
        <w:tc>
          <w:tcPr>
            <w:tcW w:w="670"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+80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74</w:t>
            </w:r>
            <w:r w:rsidR="00EA5F14">
              <w:rPr>
                <w:rFonts w:ascii="Calibri" w:hAnsi="Calibri" w:cs="Calibri"/>
                <w:color w:val="000000"/>
                <w:sz w:val="18"/>
                <w:szCs w:val="18"/>
              </w:rPr>
              <w:t>7</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77</w:t>
            </w:r>
            <w:r w:rsidR="00EA5F14">
              <w:rPr>
                <w:rFonts w:ascii="Calibri" w:hAnsi="Calibri" w:cs="Calibri"/>
                <w:color w:val="000000"/>
                <w:sz w:val="18"/>
                <w:szCs w:val="18"/>
              </w:rPr>
              <w:t>7</w:t>
            </w:r>
          </w:p>
        </w:tc>
        <w:tc>
          <w:tcPr>
            <w:tcW w:w="555" w:type="pct"/>
            <w:tcBorders>
              <w:top w:val="nil"/>
              <w:left w:val="nil"/>
              <w:bottom w:val="nil"/>
              <w:right w:val="single" w:sz="4" w:space="0" w:color="auto"/>
            </w:tcBorders>
            <w:shd w:val="clear" w:color="auto" w:fill="auto"/>
            <w:noWrap/>
            <w:vAlign w:val="bottom"/>
            <w:hideMark/>
          </w:tcPr>
          <w:p w:rsidR="00926100" w:rsidRPr="00926100" w:rsidRDefault="00EA5F14" w:rsidP="00926100">
            <w:pPr>
              <w:jc w:val="right"/>
              <w:rPr>
                <w:rFonts w:ascii="Calibri" w:hAnsi="Calibri" w:cs="Calibri"/>
                <w:color w:val="000000"/>
                <w:sz w:val="18"/>
                <w:szCs w:val="18"/>
              </w:rPr>
            </w:pPr>
            <w:r>
              <w:rPr>
                <w:rFonts w:ascii="Calibri" w:hAnsi="Calibri" w:cs="Calibri"/>
                <w:color w:val="000000"/>
                <w:sz w:val="18"/>
                <w:szCs w:val="18"/>
              </w:rPr>
              <w:t>782</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77</w:t>
            </w:r>
            <w:r w:rsidR="00EA5F14">
              <w:rPr>
                <w:rFonts w:ascii="Calibri" w:hAnsi="Calibri" w:cs="Calibri"/>
                <w:color w:val="000000"/>
                <w:sz w:val="18"/>
                <w:szCs w:val="18"/>
              </w:rPr>
              <w:t>7</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76</w:t>
            </w:r>
            <w:r w:rsidR="00EA5F14">
              <w:rPr>
                <w:rFonts w:ascii="Calibri" w:hAnsi="Calibri" w:cs="Calibri"/>
                <w:color w:val="000000"/>
                <w:sz w:val="18"/>
                <w:szCs w:val="18"/>
              </w:rPr>
              <w:t>5</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76</w:t>
            </w:r>
            <w:r w:rsidR="00EA5F14">
              <w:rPr>
                <w:rFonts w:ascii="Calibri" w:hAnsi="Calibri" w:cs="Calibri"/>
                <w:color w:val="000000"/>
                <w:sz w:val="18"/>
                <w:szCs w:val="18"/>
              </w:rPr>
              <w:t>5</w:t>
            </w:r>
          </w:p>
        </w:tc>
        <w:tc>
          <w:tcPr>
            <w:tcW w:w="447"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-13</w:t>
            </w:r>
          </w:p>
        </w:tc>
        <w:tc>
          <w:tcPr>
            <w:tcW w:w="553"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-1,66%</w:t>
            </w:r>
          </w:p>
        </w:tc>
      </w:tr>
      <w:tr w:rsidR="00926100" w:rsidRPr="00926100" w:rsidTr="00926100">
        <w:trPr>
          <w:trHeight w:val="300"/>
        </w:trPr>
        <w:tc>
          <w:tcPr>
            <w:tcW w:w="670"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I alt</w:t>
            </w:r>
          </w:p>
        </w:tc>
        <w:tc>
          <w:tcPr>
            <w:tcW w:w="555" w:type="pct"/>
            <w:tcBorders>
              <w:top w:val="single" w:sz="4" w:space="0" w:color="auto"/>
              <w:left w:val="single" w:sz="4" w:space="0" w:color="auto"/>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11.79</w:t>
            </w:r>
            <w:r w:rsidR="00EA5F14">
              <w:rPr>
                <w:rFonts w:ascii="Calibri" w:hAnsi="Calibri" w:cs="Calibri"/>
                <w:b/>
                <w:bCs/>
                <w:color w:val="000000"/>
                <w:sz w:val="18"/>
                <w:szCs w:val="18"/>
              </w:rPr>
              <w:t>5</w:t>
            </w:r>
          </w:p>
        </w:tc>
        <w:tc>
          <w:tcPr>
            <w:tcW w:w="55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11.92</w:t>
            </w:r>
            <w:r w:rsidR="00EA5F14">
              <w:rPr>
                <w:rFonts w:ascii="Calibri" w:hAnsi="Calibri" w:cs="Calibri"/>
                <w:b/>
                <w:bCs/>
                <w:color w:val="000000"/>
                <w:sz w:val="18"/>
                <w:szCs w:val="18"/>
              </w:rPr>
              <w:t>5</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11.81</w:t>
            </w:r>
            <w:r w:rsidR="00EA5F14">
              <w:rPr>
                <w:rFonts w:ascii="Calibri" w:hAnsi="Calibri" w:cs="Calibri"/>
                <w:b/>
                <w:bCs/>
                <w:color w:val="000000"/>
                <w:sz w:val="18"/>
                <w:szCs w:val="18"/>
              </w:rPr>
              <w:t>6</w:t>
            </w:r>
          </w:p>
        </w:tc>
        <w:tc>
          <w:tcPr>
            <w:tcW w:w="55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11.99</w:t>
            </w:r>
            <w:r w:rsidR="00EA5F14">
              <w:rPr>
                <w:rFonts w:ascii="Calibri" w:hAnsi="Calibri" w:cs="Calibri"/>
                <w:b/>
                <w:bCs/>
                <w:color w:val="000000"/>
                <w:sz w:val="18"/>
                <w:szCs w:val="18"/>
              </w:rPr>
              <w:t>9</w:t>
            </w:r>
          </w:p>
        </w:tc>
        <w:tc>
          <w:tcPr>
            <w:tcW w:w="55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12.06</w:t>
            </w:r>
            <w:r w:rsidR="00EA5F14">
              <w:rPr>
                <w:rFonts w:ascii="Calibri" w:hAnsi="Calibri" w:cs="Calibri"/>
                <w:b/>
                <w:bCs/>
                <w:color w:val="000000"/>
                <w:sz w:val="18"/>
                <w:szCs w:val="18"/>
              </w:rPr>
              <w:t>5</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12.11</w:t>
            </w:r>
            <w:r w:rsidR="00EA5F14">
              <w:rPr>
                <w:rFonts w:ascii="Calibri" w:hAnsi="Calibri" w:cs="Calibri"/>
                <w:b/>
                <w:bCs/>
                <w:color w:val="000000"/>
                <w:sz w:val="18"/>
                <w:szCs w:val="18"/>
              </w:rPr>
              <w:t>8</w:t>
            </w:r>
          </w:p>
        </w:tc>
        <w:tc>
          <w:tcPr>
            <w:tcW w:w="447"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30</w:t>
            </w:r>
            <w:r w:rsidR="00EA5F14">
              <w:rPr>
                <w:rFonts w:ascii="Calibri" w:hAnsi="Calibri" w:cs="Calibri"/>
                <w:b/>
                <w:bCs/>
                <w:color w:val="000000"/>
                <w:sz w:val="18"/>
                <w:szCs w:val="18"/>
              </w:rPr>
              <w:t>2</w:t>
            </w:r>
          </w:p>
        </w:tc>
        <w:tc>
          <w:tcPr>
            <w:tcW w:w="553" w:type="pct"/>
            <w:tcBorders>
              <w:top w:val="single" w:sz="4" w:space="0" w:color="auto"/>
              <w:left w:val="nil"/>
              <w:bottom w:val="single" w:sz="4" w:space="0" w:color="auto"/>
              <w:right w:val="nil"/>
            </w:tcBorders>
            <w:shd w:val="clear" w:color="auto" w:fill="auto"/>
            <w:noWrap/>
            <w:vAlign w:val="bottom"/>
            <w:hideMark/>
          </w:tcPr>
          <w:p w:rsidR="00926100" w:rsidRPr="00926100" w:rsidRDefault="00EA5F14" w:rsidP="00926100">
            <w:pPr>
              <w:jc w:val="right"/>
              <w:rPr>
                <w:rFonts w:ascii="Calibri" w:hAnsi="Calibri" w:cs="Calibri"/>
                <w:b/>
                <w:bCs/>
                <w:color w:val="000000"/>
                <w:sz w:val="18"/>
                <w:szCs w:val="18"/>
              </w:rPr>
            </w:pPr>
            <w:r>
              <w:rPr>
                <w:rFonts w:ascii="Calibri" w:hAnsi="Calibri" w:cs="Calibri"/>
                <w:b/>
                <w:bCs/>
                <w:color w:val="000000"/>
                <w:sz w:val="18"/>
                <w:szCs w:val="18"/>
              </w:rPr>
              <w:t>2,56</w:t>
            </w:r>
            <w:r w:rsidR="00926100" w:rsidRPr="00926100">
              <w:rPr>
                <w:rFonts w:ascii="Calibri" w:hAnsi="Calibri" w:cs="Calibri"/>
                <w:b/>
                <w:bCs/>
                <w:color w:val="000000"/>
                <w:sz w:val="18"/>
                <w:szCs w:val="18"/>
              </w:rPr>
              <w:t>%</w:t>
            </w:r>
          </w:p>
        </w:tc>
      </w:tr>
    </w:tbl>
    <w:p w:rsidR="006C55DE" w:rsidRDefault="006C55DE" w:rsidP="006D04C4"/>
    <w:p w:rsidR="006D04C4" w:rsidRPr="00180ABD" w:rsidRDefault="006D04C4" w:rsidP="006D04C4">
      <w:pPr>
        <w:rPr>
          <w:rFonts w:ascii="Calibri" w:hAnsi="Calibri" w:cs="Calibri"/>
          <w:noProof/>
          <w:sz w:val="18"/>
          <w:szCs w:val="18"/>
        </w:rPr>
      </w:pPr>
      <w:r w:rsidRPr="00BA20C9">
        <w:rPr>
          <w:noProof/>
          <w:sz w:val="18"/>
          <w:szCs w:val="18"/>
        </w:rPr>
        <w:t>Kilde: DemoGrafix, egne beregninger</w:t>
      </w:r>
      <w:r w:rsidRPr="00180ABD">
        <w:rPr>
          <w:rFonts w:ascii="Calibri" w:hAnsi="Calibri" w:cs="Calibri"/>
          <w:noProof/>
          <w:sz w:val="18"/>
          <w:szCs w:val="18"/>
        </w:rPr>
        <w:t>.</w:t>
      </w:r>
    </w:p>
    <w:p w:rsidR="006D04C4" w:rsidRPr="00D30D29" w:rsidRDefault="006D04C4" w:rsidP="006D04C4">
      <w:pPr>
        <w:rPr>
          <w:rFonts w:ascii="Calibri" w:hAnsi="Calibri" w:cs="Calibri"/>
          <w:noProof/>
          <w:sz w:val="18"/>
          <w:szCs w:val="18"/>
          <w:highlight w:val="yellow"/>
        </w:rPr>
      </w:pPr>
    </w:p>
    <w:p w:rsidR="006D04C4" w:rsidRPr="00E24710" w:rsidRDefault="006D04C4" w:rsidP="006D04C4">
      <w:r w:rsidRPr="00E24710">
        <w:t>Fordelt mell</w:t>
      </w:r>
      <w:r w:rsidR="006C55DE" w:rsidRPr="00E24710">
        <w:t>em aldersgrupperne kan Brøndbyø</w:t>
      </w:r>
      <w:r w:rsidRPr="00E24710">
        <w:t>ster på kort sigt</w:t>
      </w:r>
      <w:r w:rsidR="006C55DE" w:rsidRPr="00E24710">
        <w:t xml:space="preserve"> forvente </w:t>
      </w:r>
      <w:r w:rsidR="00E24710" w:rsidRPr="00E24710">
        <w:t>status quo for</w:t>
      </w:r>
      <w:r w:rsidRPr="00E24710">
        <w:t xml:space="preserve"> småbørn (0-5 år) </w:t>
      </w:r>
      <w:r w:rsidR="006C55DE" w:rsidRPr="00E24710">
        <w:t>mens</w:t>
      </w:r>
      <w:r w:rsidRPr="00E24710">
        <w:t xml:space="preserve"> antal</w:t>
      </w:r>
      <w:r w:rsidR="006C55DE" w:rsidRPr="00E24710">
        <w:t>let af skolebørn (6-16 år), forventes at stige med</w:t>
      </w:r>
      <w:r w:rsidRPr="00E24710">
        <w:t xml:space="preserve"> </w:t>
      </w:r>
      <w:r w:rsidR="00E24710" w:rsidRPr="00E24710">
        <w:t>6,3</w:t>
      </w:r>
      <w:r w:rsidRPr="00E24710">
        <w:t xml:space="preserve"> pct., svarende til </w:t>
      </w:r>
      <w:r w:rsidR="00E24710" w:rsidRPr="00E24710">
        <w:t>79</w:t>
      </w:r>
      <w:r w:rsidRPr="00E24710">
        <w:t xml:space="preserve"> personer. I den erhvervsaktive gruppe forventes en stigning på </w:t>
      </w:r>
      <w:r w:rsidR="00E24710" w:rsidRPr="00E24710">
        <w:t>3,8</w:t>
      </w:r>
      <w:r w:rsidRPr="00E24710">
        <w:t xml:space="preserve"> pct. eller </w:t>
      </w:r>
      <w:r w:rsidR="006C55DE" w:rsidRPr="00E24710">
        <w:t>2</w:t>
      </w:r>
      <w:r w:rsidR="00E24710" w:rsidRPr="00E24710">
        <w:t>77</w:t>
      </w:r>
      <w:r w:rsidRPr="00E24710">
        <w:t xml:space="preserve"> personer, mens anta</w:t>
      </w:r>
      <w:r w:rsidR="006C55DE" w:rsidRPr="00E24710">
        <w:t>llet af ældre på 67-79 år falder med</w:t>
      </w:r>
      <w:r w:rsidRPr="00E24710">
        <w:t xml:space="preserve"> </w:t>
      </w:r>
      <w:r w:rsidR="00E24710" w:rsidRPr="00E24710">
        <w:t>2,4</w:t>
      </w:r>
      <w:r w:rsidRPr="00E24710">
        <w:t xml:space="preserve"> pct. Antallet af ældre over 80 år falder med 1</w:t>
      </w:r>
      <w:r w:rsidR="00E24710" w:rsidRPr="00E24710">
        <w:t>,7</w:t>
      </w:r>
      <w:r w:rsidRPr="00E24710">
        <w:t xml:space="preserve"> pct. Dette svarer til et fald på i alt </w:t>
      </w:r>
      <w:r w:rsidR="00E24710" w:rsidRPr="00E24710">
        <w:t>13</w:t>
      </w:r>
      <w:r w:rsidRPr="00E24710">
        <w:t xml:space="preserve"> personer.</w:t>
      </w:r>
    </w:p>
    <w:p w:rsidR="006D04C4" w:rsidRPr="00E24710" w:rsidRDefault="006D04C4" w:rsidP="006D04C4"/>
    <w:p w:rsidR="006D04C4" w:rsidRPr="00850E82" w:rsidRDefault="006D04C4" w:rsidP="006D04C4">
      <w:r w:rsidRPr="00E24710">
        <w:t xml:space="preserve">Sammenlignet med prognosen for </w:t>
      </w:r>
      <w:r w:rsidR="0019499D" w:rsidRPr="00E24710">
        <w:t>hele kommunen vil man i Brøndbyø</w:t>
      </w:r>
      <w:r w:rsidR="006E7E21" w:rsidRPr="00E24710">
        <w:t xml:space="preserve">ster se et </w:t>
      </w:r>
      <w:r w:rsidR="00E24710" w:rsidRPr="00E24710">
        <w:t>udvikling i</w:t>
      </w:r>
      <w:r w:rsidR="006E7E21" w:rsidRPr="00E24710">
        <w:t xml:space="preserve"> børnetal</w:t>
      </w:r>
      <w:r w:rsidR="00E24710" w:rsidRPr="00E24710">
        <w:t>let på niveau med</w:t>
      </w:r>
      <w:r w:rsidR="006E7E21" w:rsidRPr="00E24710">
        <w:t xml:space="preserve"> i Brøndby Strand. Stigningen i 6-16 årige er et stykke efter Brøndby Vester. Som den eneste bydel oplever Brøndbyøster et fald i antallet af 67-79 årige set ud fra prognosens tal.</w:t>
      </w:r>
    </w:p>
    <w:p w:rsidR="006D04C4" w:rsidRPr="00180ABD" w:rsidRDefault="006D04C4" w:rsidP="006D04C4">
      <w:pPr>
        <w:pStyle w:val="Overskrift3"/>
        <w:numPr>
          <w:ilvl w:val="2"/>
          <w:numId w:val="5"/>
        </w:numPr>
        <w:tabs>
          <w:tab w:val="clear" w:pos="720"/>
        </w:tabs>
      </w:pPr>
      <w:bookmarkStart w:id="25" w:name="_Toc38356012"/>
      <w:r w:rsidRPr="00180ABD">
        <w:t>Aldersfordelt befolkningsfremskrivning for Brøndby</w:t>
      </w:r>
      <w:r w:rsidR="006C55DE">
        <w:t>vester</w:t>
      </w:r>
      <w:bookmarkEnd w:id="25"/>
    </w:p>
    <w:p w:rsidR="006D04C4" w:rsidRDefault="006E7E21" w:rsidP="006D04C4">
      <w:r>
        <w:t>Tabel 11</w:t>
      </w:r>
      <w:r w:rsidR="006D04C4" w:rsidRPr="00180ABD">
        <w:t xml:space="preserve"> nedenfor viser den aldersfordelte befolkni</w:t>
      </w:r>
      <w:r w:rsidR="006C55DE">
        <w:t>ngsfremskrivning for Brøndbyvester</w:t>
      </w:r>
      <w:r w:rsidR="006D04C4" w:rsidRPr="00180ABD">
        <w:t xml:space="preserve"> for åre</w:t>
      </w:r>
      <w:r w:rsidR="006D04C4">
        <w:t>ne 2019, 2020 og 2021</w:t>
      </w:r>
      <w:r w:rsidR="006D04C4" w:rsidRPr="00180ABD">
        <w:t>.</w:t>
      </w:r>
    </w:p>
    <w:p w:rsidR="006E7E21" w:rsidRPr="00180ABD" w:rsidRDefault="006E7E21" w:rsidP="006D04C4"/>
    <w:tbl>
      <w:tblPr>
        <w:tblW w:w="5000" w:type="pct"/>
        <w:tblCellMar>
          <w:left w:w="70" w:type="dxa"/>
          <w:right w:w="70" w:type="dxa"/>
        </w:tblCellMar>
        <w:tblLook w:val="04A0" w:firstRow="1" w:lastRow="0" w:firstColumn="1" w:lastColumn="0" w:noHBand="0" w:noVBand="1"/>
      </w:tblPr>
      <w:tblGrid>
        <w:gridCol w:w="1682"/>
        <w:gridCol w:w="1147"/>
        <w:gridCol w:w="1147"/>
        <w:gridCol w:w="1146"/>
        <w:gridCol w:w="891"/>
        <w:gridCol w:w="893"/>
        <w:gridCol w:w="893"/>
        <w:gridCol w:w="920"/>
        <w:gridCol w:w="920"/>
      </w:tblGrid>
      <w:tr w:rsidR="00926100" w:rsidRPr="00926100" w:rsidTr="00926100">
        <w:trPr>
          <w:trHeight w:val="300"/>
        </w:trPr>
        <w:tc>
          <w:tcPr>
            <w:tcW w:w="2421" w:type="pct"/>
            <w:gridSpan w:val="4"/>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color w:val="000000"/>
                <w:sz w:val="18"/>
                <w:szCs w:val="18"/>
              </w:rPr>
            </w:pPr>
            <w:r w:rsidRPr="00926100">
              <w:rPr>
                <w:rFonts w:ascii="Calibri" w:hAnsi="Calibri" w:cs="Calibri"/>
                <w:b/>
                <w:color w:val="000000"/>
                <w:sz w:val="18"/>
                <w:szCs w:val="18"/>
              </w:rPr>
              <w:t>Tabel 11</w:t>
            </w:r>
            <w:r w:rsidRPr="00926100">
              <w:rPr>
                <w:rFonts w:ascii="Calibri" w:hAnsi="Calibri" w:cs="Calibri"/>
                <w:color w:val="000000"/>
                <w:sz w:val="18"/>
                <w:szCs w:val="18"/>
              </w:rPr>
              <w:t>. Aldersfordelt befolkningsfremskrivning for Brøndbyvester.</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color w:val="000000"/>
                <w:sz w:val="18"/>
                <w:szCs w:val="18"/>
              </w:rPr>
            </w:pPr>
          </w:p>
        </w:tc>
        <w:tc>
          <w:tcPr>
            <w:tcW w:w="516" w:type="pct"/>
            <w:tcBorders>
              <w:top w:val="nil"/>
              <w:left w:val="nil"/>
              <w:bottom w:val="nil"/>
              <w:right w:val="nil"/>
            </w:tcBorders>
            <w:shd w:val="clear" w:color="auto" w:fill="auto"/>
            <w:noWrap/>
            <w:vAlign w:val="bottom"/>
            <w:hideMark/>
          </w:tcPr>
          <w:p w:rsidR="00926100" w:rsidRPr="00926100" w:rsidRDefault="00926100" w:rsidP="00926100">
            <w:pPr>
              <w:rPr>
                <w:rFonts w:ascii="Times New Roman" w:hAnsi="Times New Roman"/>
                <w:sz w:val="18"/>
                <w:szCs w:val="18"/>
              </w:rPr>
            </w:pPr>
          </w:p>
        </w:tc>
        <w:tc>
          <w:tcPr>
            <w:tcW w:w="516" w:type="pct"/>
            <w:tcBorders>
              <w:top w:val="nil"/>
              <w:left w:val="nil"/>
              <w:bottom w:val="nil"/>
              <w:right w:val="nil"/>
            </w:tcBorders>
            <w:shd w:val="clear" w:color="auto" w:fill="auto"/>
            <w:noWrap/>
            <w:vAlign w:val="bottom"/>
            <w:hideMark/>
          </w:tcPr>
          <w:p w:rsidR="00926100" w:rsidRPr="00926100" w:rsidRDefault="00926100" w:rsidP="00926100">
            <w:pPr>
              <w:rPr>
                <w:rFonts w:ascii="Times New Roman" w:hAnsi="Times New Roman"/>
                <w:sz w:val="18"/>
                <w:szCs w:val="18"/>
              </w:rPr>
            </w:pPr>
          </w:p>
        </w:tc>
        <w:tc>
          <w:tcPr>
            <w:tcW w:w="516" w:type="pct"/>
            <w:tcBorders>
              <w:top w:val="nil"/>
              <w:left w:val="nil"/>
              <w:bottom w:val="nil"/>
              <w:right w:val="nil"/>
            </w:tcBorders>
            <w:shd w:val="clear" w:color="auto" w:fill="auto"/>
            <w:noWrap/>
            <w:vAlign w:val="bottom"/>
            <w:hideMark/>
          </w:tcPr>
          <w:p w:rsidR="00926100" w:rsidRPr="00926100" w:rsidRDefault="00926100" w:rsidP="00926100">
            <w:pPr>
              <w:rPr>
                <w:rFonts w:ascii="Times New Roman" w:hAnsi="Times New Roman"/>
                <w:sz w:val="18"/>
                <w:szCs w:val="18"/>
              </w:rPr>
            </w:pPr>
          </w:p>
        </w:tc>
        <w:tc>
          <w:tcPr>
            <w:tcW w:w="516" w:type="pct"/>
            <w:tcBorders>
              <w:top w:val="nil"/>
              <w:left w:val="nil"/>
              <w:bottom w:val="nil"/>
              <w:right w:val="nil"/>
            </w:tcBorders>
            <w:shd w:val="clear" w:color="auto" w:fill="auto"/>
            <w:noWrap/>
            <w:vAlign w:val="bottom"/>
            <w:hideMark/>
          </w:tcPr>
          <w:p w:rsidR="00926100" w:rsidRPr="00926100" w:rsidRDefault="00926100" w:rsidP="00926100">
            <w:pPr>
              <w:rPr>
                <w:rFonts w:ascii="Times New Roman" w:hAnsi="Times New Roman"/>
                <w:sz w:val="18"/>
                <w:szCs w:val="18"/>
              </w:rPr>
            </w:pPr>
          </w:p>
        </w:tc>
      </w:tr>
      <w:tr w:rsidR="00926100" w:rsidRPr="00926100" w:rsidTr="00926100">
        <w:trPr>
          <w:trHeight w:val="300"/>
        </w:trPr>
        <w:tc>
          <w:tcPr>
            <w:tcW w:w="795" w:type="pct"/>
            <w:tcBorders>
              <w:top w:val="single" w:sz="4" w:space="0" w:color="auto"/>
              <w:left w:val="nil"/>
              <w:bottom w:val="nil"/>
              <w:right w:val="single" w:sz="4" w:space="0" w:color="auto"/>
            </w:tcBorders>
            <w:shd w:val="clear" w:color="auto" w:fill="auto"/>
            <w:noWrap/>
            <w:vAlign w:val="bottom"/>
            <w:hideMark/>
          </w:tcPr>
          <w:p w:rsidR="00926100" w:rsidRPr="00926100" w:rsidRDefault="00926100" w:rsidP="00926100">
            <w:pPr>
              <w:rPr>
                <w:rFonts w:ascii="Calibri" w:hAnsi="Calibri" w:cs="Calibri"/>
                <w:color w:val="000000"/>
                <w:sz w:val="18"/>
                <w:szCs w:val="18"/>
              </w:rPr>
            </w:pPr>
            <w:r w:rsidRPr="00926100">
              <w:rPr>
                <w:rFonts w:ascii="Calibri" w:hAnsi="Calibri" w:cs="Calibri"/>
                <w:color w:val="000000"/>
                <w:sz w:val="18"/>
                <w:szCs w:val="18"/>
              </w:rPr>
              <w:t> </w:t>
            </w:r>
          </w:p>
        </w:tc>
        <w:tc>
          <w:tcPr>
            <w:tcW w:w="1626" w:type="pct"/>
            <w:gridSpan w:val="3"/>
            <w:tcBorders>
              <w:top w:val="single" w:sz="4" w:space="0" w:color="auto"/>
              <w:left w:val="nil"/>
              <w:bottom w:val="nil"/>
              <w:right w:val="single" w:sz="4" w:space="0" w:color="000000"/>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Historik</w:t>
            </w:r>
          </w:p>
        </w:tc>
        <w:tc>
          <w:tcPr>
            <w:tcW w:w="1547" w:type="pct"/>
            <w:gridSpan w:val="3"/>
            <w:tcBorders>
              <w:top w:val="single" w:sz="4" w:space="0" w:color="auto"/>
              <w:left w:val="nil"/>
              <w:bottom w:val="nil"/>
              <w:right w:val="single" w:sz="4" w:space="0" w:color="000000"/>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Prognose</w:t>
            </w:r>
          </w:p>
        </w:tc>
        <w:tc>
          <w:tcPr>
            <w:tcW w:w="1032" w:type="pct"/>
            <w:gridSpan w:val="2"/>
            <w:tcBorders>
              <w:top w:val="single" w:sz="4" w:space="0" w:color="auto"/>
              <w:left w:val="nil"/>
              <w:bottom w:val="nil"/>
              <w:right w:val="nil"/>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Ændring fra 2020-2023</w:t>
            </w:r>
          </w:p>
        </w:tc>
      </w:tr>
      <w:tr w:rsidR="00926100" w:rsidRPr="00926100" w:rsidTr="00926100">
        <w:trPr>
          <w:trHeight w:val="300"/>
        </w:trPr>
        <w:tc>
          <w:tcPr>
            <w:tcW w:w="795" w:type="pct"/>
            <w:tcBorders>
              <w:top w:val="nil"/>
              <w:left w:val="nil"/>
              <w:bottom w:val="single" w:sz="4" w:space="0" w:color="auto"/>
              <w:right w:val="nil"/>
            </w:tcBorders>
            <w:shd w:val="clear" w:color="auto" w:fill="auto"/>
            <w:noWrap/>
            <w:vAlign w:val="bottom"/>
            <w:hideMark/>
          </w:tcPr>
          <w:p w:rsidR="00926100" w:rsidRPr="00926100" w:rsidRDefault="00926100" w:rsidP="00926100">
            <w:pPr>
              <w:rPr>
                <w:rFonts w:ascii="Calibri" w:hAnsi="Calibri" w:cs="Calibri"/>
                <w:color w:val="000000"/>
                <w:sz w:val="18"/>
                <w:szCs w:val="18"/>
              </w:rPr>
            </w:pPr>
            <w:r w:rsidRPr="00926100">
              <w:rPr>
                <w:rFonts w:ascii="Calibri" w:hAnsi="Calibri" w:cs="Calibri"/>
                <w:color w:val="000000"/>
                <w:sz w:val="18"/>
                <w:szCs w:val="18"/>
              </w:rPr>
              <w:t> </w:t>
            </w:r>
          </w:p>
        </w:tc>
        <w:tc>
          <w:tcPr>
            <w:tcW w:w="542" w:type="pct"/>
            <w:tcBorders>
              <w:top w:val="nil"/>
              <w:left w:val="single" w:sz="4" w:space="0" w:color="auto"/>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2018</w:t>
            </w:r>
          </w:p>
        </w:tc>
        <w:tc>
          <w:tcPr>
            <w:tcW w:w="542"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2019</w:t>
            </w:r>
          </w:p>
        </w:tc>
        <w:tc>
          <w:tcPr>
            <w:tcW w:w="542" w:type="pct"/>
            <w:tcBorders>
              <w:top w:val="nil"/>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2020</w:t>
            </w:r>
          </w:p>
        </w:tc>
        <w:tc>
          <w:tcPr>
            <w:tcW w:w="516"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2021</w:t>
            </w:r>
          </w:p>
        </w:tc>
        <w:tc>
          <w:tcPr>
            <w:tcW w:w="516"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2022</w:t>
            </w:r>
          </w:p>
        </w:tc>
        <w:tc>
          <w:tcPr>
            <w:tcW w:w="516" w:type="pct"/>
            <w:tcBorders>
              <w:top w:val="nil"/>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2023</w:t>
            </w:r>
          </w:p>
        </w:tc>
        <w:tc>
          <w:tcPr>
            <w:tcW w:w="516"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Antal</w:t>
            </w:r>
          </w:p>
        </w:tc>
        <w:tc>
          <w:tcPr>
            <w:tcW w:w="516" w:type="pct"/>
            <w:tcBorders>
              <w:top w:val="nil"/>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w:t>
            </w:r>
          </w:p>
        </w:tc>
      </w:tr>
      <w:tr w:rsidR="00926100" w:rsidRPr="00926100" w:rsidTr="00926100">
        <w:trPr>
          <w:trHeight w:val="300"/>
        </w:trPr>
        <w:tc>
          <w:tcPr>
            <w:tcW w:w="79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0-5 år</w:t>
            </w:r>
          </w:p>
        </w:tc>
        <w:tc>
          <w:tcPr>
            <w:tcW w:w="542"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585</w:t>
            </w:r>
          </w:p>
        </w:tc>
        <w:tc>
          <w:tcPr>
            <w:tcW w:w="542"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582</w:t>
            </w:r>
          </w:p>
        </w:tc>
        <w:tc>
          <w:tcPr>
            <w:tcW w:w="542"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591</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592</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653</w:t>
            </w:r>
          </w:p>
        </w:tc>
        <w:tc>
          <w:tcPr>
            <w:tcW w:w="516"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754</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163</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27,56%</w:t>
            </w:r>
          </w:p>
        </w:tc>
      </w:tr>
      <w:tr w:rsidR="00926100" w:rsidRPr="00926100" w:rsidTr="00926100">
        <w:trPr>
          <w:trHeight w:val="300"/>
        </w:trPr>
        <w:tc>
          <w:tcPr>
            <w:tcW w:w="79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6-16 år</w:t>
            </w:r>
          </w:p>
        </w:tc>
        <w:tc>
          <w:tcPr>
            <w:tcW w:w="542"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1.096</w:t>
            </w:r>
          </w:p>
        </w:tc>
        <w:tc>
          <w:tcPr>
            <w:tcW w:w="542"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1.107</w:t>
            </w:r>
          </w:p>
        </w:tc>
        <w:tc>
          <w:tcPr>
            <w:tcW w:w="542"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1.127</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1.117</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1.173</w:t>
            </w:r>
          </w:p>
        </w:tc>
        <w:tc>
          <w:tcPr>
            <w:tcW w:w="516"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1.273</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146</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12,92%</w:t>
            </w:r>
          </w:p>
        </w:tc>
      </w:tr>
      <w:tr w:rsidR="00926100" w:rsidRPr="00926100" w:rsidTr="00926100">
        <w:trPr>
          <w:trHeight w:val="300"/>
        </w:trPr>
        <w:tc>
          <w:tcPr>
            <w:tcW w:w="79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lastRenderedPageBreak/>
              <w:t>17-66 år</w:t>
            </w:r>
          </w:p>
        </w:tc>
        <w:tc>
          <w:tcPr>
            <w:tcW w:w="542"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5.622</w:t>
            </w:r>
          </w:p>
        </w:tc>
        <w:tc>
          <w:tcPr>
            <w:tcW w:w="542"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5.697</w:t>
            </w:r>
          </w:p>
        </w:tc>
        <w:tc>
          <w:tcPr>
            <w:tcW w:w="542"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5.708</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5.711</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6.164</w:t>
            </w:r>
          </w:p>
        </w:tc>
        <w:tc>
          <w:tcPr>
            <w:tcW w:w="516"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6.825</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1.117</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19,56%</w:t>
            </w:r>
          </w:p>
        </w:tc>
      </w:tr>
      <w:tr w:rsidR="00926100" w:rsidRPr="00926100" w:rsidTr="00926100">
        <w:trPr>
          <w:trHeight w:val="300"/>
        </w:trPr>
        <w:tc>
          <w:tcPr>
            <w:tcW w:w="79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67-79 år</w:t>
            </w:r>
          </w:p>
        </w:tc>
        <w:tc>
          <w:tcPr>
            <w:tcW w:w="542"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1.018</w:t>
            </w:r>
          </w:p>
        </w:tc>
        <w:tc>
          <w:tcPr>
            <w:tcW w:w="542"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1.006</w:t>
            </w:r>
          </w:p>
        </w:tc>
        <w:tc>
          <w:tcPr>
            <w:tcW w:w="542"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991</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1.021</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1.071</w:t>
            </w:r>
          </w:p>
        </w:tc>
        <w:tc>
          <w:tcPr>
            <w:tcW w:w="516"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1.143</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152</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15,38%</w:t>
            </w:r>
          </w:p>
        </w:tc>
      </w:tr>
      <w:tr w:rsidR="00926100" w:rsidRPr="00926100" w:rsidTr="00926100">
        <w:trPr>
          <w:trHeight w:val="300"/>
        </w:trPr>
        <w:tc>
          <w:tcPr>
            <w:tcW w:w="79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+80 år</w:t>
            </w:r>
          </w:p>
        </w:tc>
        <w:tc>
          <w:tcPr>
            <w:tcW w:w="542" w:type="pct"/>
            <w:tcBorders>
              <w:top w:val="nil"/>
              <w:left w:val="single" w:sz="4" w:space="0" w:color="auto"/>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577</w:t>
            </w:r>
          </w:p>
        </w:tc>
        <w:tc>
          <w:tcPr>
            <w:tcW w:w="542"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584</w:t>
            </w:r>
          </w:p>
        </w:tc>
        <w:tc>
          <w:tcPr>
            <w:tcW w:w="542"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591</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566</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55</w:t>
            </w:r>
            <w:r w:rsidR="00EA5F14">
              <w:rPr>
                <w:rFonts w:ascii="Calibri" w:hAnsi="Calibri" w:cs="Calibri"/>
                <w:color w:val="000000"/>
                <w:sz w:val="18"/>
                <w:szCs w:val="18"/>
              </w:rPr>
              <w:t>9</w:t>
            </w:r>
          </w:p>
        </w:tc>
        <w:tc>
          <w:tcPr>
            <w:tcW w:w="516"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55</w:t>
            </w:r>
            <w:r w:rsidR="00EA5F14">
              <w:rPr>
                <w:rFonts w:ascii="Calibri" w:hAnsi="Calibri" w:cs="Calibri"/>
                <w:color w:val="000000"/>
                <w:sz w:val="18"/>
                <w:szCs w:val="18"/>
              </w:rPr>
              <w:t>9</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-34</w:t>
            </w:r>
          </w:p>
        </w:tc>
        <w:tc>
          <w:tcPr>
            <w:tcW w:w="516"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-5,78%</w:t>
            </w:r>
          </w:p>
        </w:tc>
      </w:tr>
      <w:tr w:rsidR="00926100" w:rsidRPr="00926100" w:rsidTr="00926100">
        <w:trPr>
          <w:trHeight w:val="300"/>
        </w:trPr>
        <w:tc>
          <w:tcPr>
            <w:tcW w:w="79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I alt</w:t>
            </w:r>
          </w:p>
        </w:tc>
        <w:tc>
          <w:tcPr>
            <w:tcW w:w="542" w:type="pct"/>
            <w:tcBorders>
              <w:top w:val="single" w:sz="4" w:space="0" w:color="auto"/>
              <w:left w:val="single" w:sz="4" w:space="0" w:color="auto"/>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8.898</w:t>
            </w:r>
          </w:p>
        </w:tc>
        <w:tc>
          <w:tcPr>
            <w:tcW w:w="542"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8.976</w:t>
            </w:r>
          </w:p>
        </w:tc>
        <w:tc>
          <w:tcPr>
            <w:tcW w:w="542" w:type="pct"/>
            <w:tcBorders>
              <w:top w:val="single" w:sz="4" w:space="0" w:color="auto"/>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9.008</w:t>
            </w:r>
          </w:p>
        </w:tc>
        <w:tc>
          <w:tcPr>
            <w:tcW w:w="516"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9.006</w:t>
            </w:r>
          </w:p>
        </w:tc>
        <w:tc>
          <w:tcPr>
            <w:tcW w:w="516" w:type="pct"/>
            <w:tcBorders>
              <w:top w:val="single" w:sz="4" w:space="0" w:color="auto"/>
              <w:left w:val="nil"/>
              <w:bottom w:val="single" w:sz="4" w:space="0" w:color="auto"/>
              <w:right w:val="nil"/>
            </w:tcBorders>
            <w:shd w:val="clear" w:color="auto" w:fill="auto"/>
            <w:noWrap/>
            <w:vAlign w:val="bottom"/>
            <w:hideMark/>
          </w:tcPr>
          <w:p w:rsidR="00926100" w:rsidRPr="00926100" w:rsidRDefault="00EA5F14" w:rsidP="00926100">
            <w:pPr>
              <w:jc w:val="right"/>
              <w:rPr>
                <w:rFonts w:ascii="Calibri" w:hAnsi="Calibri" w:cs="Calibri"/>
                <w:color w:val="000000"/>
                <w:sz w:val="18"/>
                <w:szCs w:val="18"/>
              </w:rPr>
            </w:pPr>
            <w:r>
              <w:rPr>
                <w:rFonts w:ascii="Calibri" w:hAnsi="Calibri" w:cs="Calibri"/>
                <w:color w:val="000000"/>
                <w:sz w:val="18"/>
                <w:szCs w:val="18"/>
              </w:rPr>
              <w:t>9.620</w:t>
            </w:r>
          </w:p>
        </w:tc>
        <w:tc>
          <w:tcPr>
            <w:tcW w:w="516" w:type="pct"/>
            <w:tcBorders>
              <w:top w:val="single" w:sz="4" w:space="0" w:color="auto"/>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10.55</w:t>
            </w:r>
            <w:r w:rsidR="00EA5F14">
              <w:rPr>
                <w:rFonts w:ascii="Calibri" w:hAnsi="Calibri" w:cs="Calibri"/>
                <w:color w:val="000000"/>
                <w:sz w:val="18"/>
                <w:szCs w:val="18"/>
              </w:rPr>
              <w:t>4</w:t>
            </w:r>
          </w:p>
        </w:tc>
        <w:tc>
          <w:tcPr>
            <w:tcW w:w="516"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1.54</w:t>
            </w:r>
            <w:r w:rsidR="00EA5F14">
              <w:rPr>
                <w:rFonts w:ascii="Calibri" w:hAnsi="Calibri" w:cs="Calibri"/>
                <w:b/>
                <w:bCs/>
                <w:color w:val="000000"/>
                <w:sz w:val="18"/>
                <w:szCs w:val="18"/>
              </w:rPr>
              <w:t>6</w:t>
            </w:r>
          </w:p>
        </w:tc>
        <w:tc>
          <w:tcPr>
            <w:tcW w:w="516" w:type="pct"/>
            <w:tcBorders>
              <w:top w:val="single" w:sz="4" w:space="0" w:color="auto"/>
              <w:left w:val="nil"/>
              <w:bottom w:val="single" w:sz="4" w:space="0" w:color="auto"/>
              <w:right w:val="nil"/>
            </w:tcBorders>
            <w:shd w:val="clear" w:color="auto" w:fill="auto"/>
            <w:noWrap/>
            <w:vAlign w:val="bottom"/>
            <w:hideMark/>
          </w:tcPr>
          <w:p w:rsidR="00926100" w:rsidRPr="00926100" w:rsidRDefault="00EA5F14" w:rsidP="00926100">
            <w:pPr>
              <w:jc w:val="right"/>
              <w:rPr>
                <w:rFonts w:ascii="Calibri" w:hAnsi="Calibri" w:cs="Calibri"/>
                <w:b/>
                <w:bCs/>
                <w:color w:val="000000"/>
                <w:sz w:val="18"/>
                <w:szCs w:val="18"/>
              </w:rPr>
            </w:pPr>
            <w:r>
              <w:rPr>
                <w:rFonts w:ascii="Calibri" w:hAnsi="Calibri" w:cs="Calibri"/>
                <w:b/>
                <w:bCs/>
                <w:color w:val="000000"/>
                <w:sz w:val="18"/>
                <w:szCs w:val="18"/>
              </w:rPr>
              <w:t>17,16</w:t>
            </w:r>
            <w:r w:rsidR="00926100" w:rsidRPr="00926100">
              <w:rPr>
                <w:rFonts w:ascii="Calibri" w:hAnsi="Calibri" w:cs="Calibri"/>
                <w:b/>
                <w:bCs/>
                <w:color w:val="000000"/>
                <w:sz w:val="18"/>
                <w:szCs w:val="18"/>
              </w:rPr>
              <w:t>%</w:t>
            </w:r>
          </w:p>
        </w:tc>
      </w:tr>
    </w:tbl>
    <w:p w:rsidR="006D04C4" w:rsidRPr="00180ABD" w:rsidRDefault="006D04C4" w:rsidP="006D04C4"/>
    <w:p w:rsidR="006D04C4" w:rsidRPr="00B6347A" w:rsidRDefault="006D04C4" w:rsidP="006D04C4">
      <w:r w:rsidRPr="00B6347A">
        <w:t>Som det fremgår af tabellen, forventes det samled</w:t>
      </w:r>
      <w:r w:rsidR="006C55DE" w:rsidRPr="00B6347A">
        <w:t xml:space="preserve">e befolkningstal i Brøndbyvester </w:t>
      </w:r>
      <w:r w:rsidR="00B6347A" w:rsidRPr="00B6347A">
        <w:t>at stige fra 2020-2023</w:t>
      </w:r>
      <w:r w:rsidRPr="00B6347A">
        <w:t xml:space="preserve"> med 1</w:t>
      </w:r>
      <w:r w:rsidR="00EA5F14">
        <w:t>7,2</w:t>
      </w:r>
      <w:r w:rsidRPr="00B6347A">
        <w:t xml:space="preserve"> pct. eller </w:t>
      </w:r>
      <w:r w:rsidR="00EA5F14">
        <w:t>1.546</w:t>
      </w:r>
      <w:r w:rsidRPr="00B6347A">
        <w:t xml:space="preserve"> personer.</w:t>
      </w:r>
    </w:p>
    <w:p w:rsidR="006D04C4" w:rsidRPr="00B6347A" w:rsidRDefault="006D04C4" w:rsidP="006D04C4"/>
    <w:p w:rsidR="006D04C4" w:rsidRPr="00B6347A" w:rsidRDefault="006D04C4" w:rsidP="006D04C4">
      <w:r w:rsidRPr="00B6347A">
        <w:t xml:space="preserve">Fordelt mellem </w:t>
      </w:r>
      <w:r w:rsidR="006E7E21" w:rsidRPr="00B6347A">
        <w:t>aldersgrupperne kan Brøndbyvester</w:t>
      </w:r>
      <w:r w:rsidRPr="00B6347A">
        <w:t xml:space="preserve"> forvente et stigende antal 0-5-årige på</w:t>
      </w:r>
      <w:r w:rsidR="00B6347A" w:rsidRPr="00B6347A">
        <w:t xml:space="preserve"> hele 16</w:t>
      </w:r>
      <w:r w:rsidR="006E7E21" w:rsidRPr="00B6347A">
        <w:t>3</w:t>
      </w:r>
      <w:r w:rsidRPr="00B6347A">
        <w:t xml:space="preserve"> personer, svarende til </w:t>
      </w:r>
      <w:r w:rsidR="00B6347A" w:rsidRPr="00B6347A">
        <w:t>27</w:t>
      </w:r>
      <w:r w:rsidR="006E7E21" w:rsidRPr="00B6347A">
        <w:t>,6</w:t>
      </w:r>
      <w:r w:rsidRPr="00B6347A">
        <w:t xml:space="preserve">pct., og ligeledes et stigende antal </w:t>
      </w:r>
      <w:r w:rsidR="006E7E21" w:rsidRPr="00B6347A">
        <w:t>6</w:t>
      </w:r>
      <w:r w:rsidR="00B6347A" w:rsidRPr="00B6347A">
        <w:t>-16-årige, hvor der vil være 146</w:t>
      </w:r>
      <w:r w:rsidRPr="00B6347A">
        <w:t xml:space="preserve"> personer </w:t>
      </w:r>
      <w:r w:rsidR="00B6347A" w:rsidRPr="00B6347A">
        <w:t>flere i 2023 end i 2020</w:t>
      </w:r>
      <w:r w:rsidRPr="00B6347A">
        <w:t>, hvilket svarer til en stigning på</w:t>
      </w:r>
      <w:r w:rsidR="006E7E21" w:rsidRPr="00B6347A">
        <w:t xml:space="preserve"> knap</w:t>
      </w:r>
      <w:r w:rsidRPr="00B6347A">
        <w:t xml:space="preserve"> </w:t>
      </w:r>
      <w:r w:rsidR="00B6347A" w:rsidRPr="00B6347A">
        <w:t>13</w:t>
      </w:r>
      <w:r w:rsidR="006E7E21" w:rsidRPr="00B6347A">
        <w:t>,0</w:t>
      </w:r>
      <w:r w:rsidRPr="00B6347A">
        <w:t xml:space="preserve"> pct. Gruppen af erhvervsaktive mellem 17-66 år for</w:t>
      </w:r>
      <w:r w:rsidR="00B6347A" w:rsidRPr="00B6347A">
        <w:t>ventes ligeledes at stige, med knap 20,0</w:t>
      </w:r>
      <w:r w:rsidRPr="00B6347A">
        <w:t xml:space="preserve"> pct. eller </w:t>
      </w:r>
      <w:r w:rsidR="00B6347A" w:rsidRPr="00B6347A">
        <w:t>1.117</w:t>
      </w:r>
      <w:r w:rsidRPr="00B6347A">
        <w:t xml:space="preserve"> personer. Gruppen a</w:t>
      </w:r>
      <w:r w:rsidR="006E7E21" w:rsidRPr="00B6347A">
        <w:t>f 67-79-årige forventes at stige</w:t>
      </w:r>
      <w:r w:rsidRPr="00B6347A">
        <w:t xml:space="preserve"> med </w:t>
      </w:r>
      <w:r w:rsidR="00B6347A" w:rsidRPr="00B6347A">
        <w:t>15</w:t>
      </w:r>
      <w:r w:rsidR="006E7E21" w:rsidRPr="00B6347A">
        <w:t>,4</w:t>
      </w:r>
      <w:r w:rsidRPr="00B6347A">
        <w:t xml:space="preserve"> pct.,</w:t>
      </w:r>
      <w:r w:rsidR="00B6347A" w:rsidRPr="00B6347A">
        <w:t xml:space="preserve"> svarende til 152</w:t>
      </w:r>
      <w:r w:rsidR="006E7E21" w:rsidRPr="00B6347A">
        <w:t xml:space="preserve"> personer. Antallet af +80 årige er faldet som</w:t>
      </w:r>
      <w:r w:rsidR="00B6347A" w:rsidRPr="00B6347A">
        <w:t xml:space="preserve"> den eneste aldersgruppe med 5,8</w:t>
      </w:r>
      <w:r w:rsidR="006E7E21" w:rsidRPr="00B6347A">
        <w:t xml:space="preserve"> pct., hvi</w:t>
      </w:r>
      <w:r w:rsidR="00B6347A" w:rsidRPr="00B6347A">
        <w:t>lket svarer til 34</w:t>
      </w:r>
      <w:r w:rsidR="006E7E21" w:rsidRPr="00B6347A">
        <w:t xml:space="preserve"> personer.</w:t>
      </w:r>
      <w:r w:rsidRPr="00B6347A">
        <w:t xml:space="preserve"> </w:t>
      </w:r>
    </w:p>
    <w:p w:rsidR="006E7E21" w:rsidRPr="00B6347A" w:rsidRDefault="006E7E21" w:rsidP="006D04C4"/>
    <w:p w:rsidR="006D04C4" w:rsidRPr="00C96F1A" w:rsidRDefault="006D04C4" w:rsidP="006D04C4">
      <w:r w:rsidRPr="00B6347A">
        <w:t xml:space="preserve">Sammenlignet med udviklingen for hele kommunen er stigningen i </w:t>
      </w:r>
      <w:r w:rsidR="00C96F1A" w:rsidRPr="00B6347A">
        <w:t>de fire aldersgrupper den højeste blande bydelene i Brøndby og som derfor skiller sig klart ud. Der er tale om en markant højere vækst i befolkningstallet når der ses bort fra faldet af antal +80 årige. Dette skal naturligvis ses i lyset af byudviklingsprojektet i Kirkebjerg hvor der frem mod 2025</w:t>
      </w:r>
      <w:r w:rsidR="00B6347A" w:rsidRPr="00B6347A">
        <w:t xml:space="preserve"> kan påregnes forventeligt ca. 4.</w:t>
      </w:r>
      <w:r w:rsidR="00C96F1A" w:rsidRPr="00B6347A">
        <w:t>00 flere borgere.</w:t>
      </w:r>
    </w:p>
    <w:p w:rsidR="006D04C4" w:rsidRPr="00DD1510" w:rsidRDefault="006D04C4" w:rsidP="006D04C4">
      <w:pPr>
        <w:pStyle w:val="Overskrift3"/>
        <w:numPr>
          <w:ilvl w:val="2"/>
          <w:numId w:val="5"/>
        </w:numPr>
        <w:tabs>
          <w:tab w:val="clear" w:pos="720"/>
        </w:tabs>
      </w:pPr>
      <w:bookmarkStart w:id="26" w:name="_Toc38356013"/>
      <w:r w:rsidRPr="00DD1510">
        <w:t>Aldersfordelt befolkningsfremskrivning for Brøndby Strand</w:t>
      </w:r>
      <w:bookmarkEnd w:id="26"/>
    </w:p>
    <w:p w:rsidR="00C96F1A" w:rsidRDefault="006D04C4" w:rsidP="006D04C4">
      <w:r w:rsidRPr="00DD1510">
        <w:t>Tabel 1</w:t>
      </w:r>
      <w:r w:rsidR="00C96F1A">
        <w:t>2</w:t>
      </w:r>
      <w:r w:rsidRPr="00DD1510">
        <w:t xml:space="preserve"> nedenfor viser den aldersfordelte befolkningsfremskrivning for Brøndby Strand for årene 201</w:t>
      </w:r>
      <w:r>
        <w:t>9, 2020 og 2021</w:t>
      </w:r>
      <w:r w:rsidRPr="00DD1510">
        <w:t>.</w:t>
      </w:r>
    </w:p>
    <w:p w:rsidR="006B22D3" w:rsidRDefault="006B22D3" w:rsidP="006D04C4"/>
    <w:p w:rsidR="00926100" w:rsidRPr="006B22D3" w:rsidRDefault="006B22D3" w:rsidP="006D04C4">
      <w:pPr>
        <w:rPr>
          <w:sz w:val="18"/>
          <w:szCs w:val="18"/>
        </w:rPr>
      </w:pPr>
      <w:r w:rsidRPr="006B22D3">
        <w:rPr>
          <w:b/>
          <w:sz w:val="18"/>
          <w:szCs w:val="18"/>
        </w:rPr>
        <w:t>Tabel 12</w:t>
      </w:r>
      <w:r w:rsidRPr="006B22D3">
        <w:rPr>
          <w:sz w:val="18"/>
          <w:szCs w:val="18"/>
        </w:rPr>
        <w:t>. Aldersfordelt befolkningsfremskrivning for Brøndby Strand</w:t>
      </w:r>
    </w:p>
    <w:tbl>
      <w:tblPr>
        <w:tblW w:w="5000" w:type="pct"/>
        <w:tblCellMar>
          <w:left w:w="70" w:type="dxa"/>
          <w:right w:w="70" w:type="dxa"/>
        </w:tblCellMar>
        <w:tblLook w:val="04A0" w:firstRow="1" w:lastRow="0" w:firstColumn="1" w:lastColumn="0" w:noHBand="0" w:noVBand="1"/>
      </w:tblPr>
      <w:tblGrid>
        <w:gridCol w:w="1069"/>
        <w:gridCol w:w="1070"/>
        <w:gridCol w:w="270"/>
        <w:gridCol w:w="800"/>
        <w:gridCol w:w="1070"/>
        <w:gridCol w:w="540"/>
        <w:gridCol w:w="532"/>
        <w:gridCol w:w="1070"/>
        <w:gridCol w:w="808"/>
        <w:gridCol w:w="262"/>
        <w:gridCol w:w="1070"/>
        <w:gridCol w:w="1078"/>
      </w:tblGrid>
      <w:tr w:rsidR="006B22D3" w:rsidRPr="00926100" w:rsidTr="006B22D3">
        <w:trPr>
          <w:trHeight w:val="315"/>
        </w:trPr>
        <w:tc>
          <w:tcPr>
            <w:tcW w:w="1250" w:type="pct"/>
            <w:gridSpan w:val="3"/>
            <w:tcBorders>
              <w:top w:val="single" w:sz="4" w:space="0" w:color="auto"/>
              <w:left w:val="nil"/>
              <w:bottom w:val="single" w:sz="4" w:space="0" w:color="auto"/>
            </w:tcBorders>
            <w:shd w:val="clear" w:color="auto" w:fill="auto"/>
            <w:noWrap/>
            <w:vAlign w:val="bottom"/>
            <w:hideMark/>
          </w:tcPr>
          <w:p w:rsidR="00926100" w:rsidRPr="00926100" w:rsidRDefault="00926100" w:rsidP="00926100">
            <w:pPr>
              <w:rPr>
                <w:rFonts w:ascii="Calibri" w:hAnsi="Calibri" w:cs="Calibri"/>
                <w:color w:val="000000"/>
                <w:sz w:val="18"/>
                <w:szCs w:val="18"/>
              </w:rPr>
            </w:pPr>
            <w:r w:rsidRPr="00926100">
              <w:rPr>
                <w:rFonts w:ascii="Calibri" w:hAnsi="Calibri" w:cs="Calibri"/>
                <w:color w:val="000000"/>
                <w:sz w:val="18"/>
                <w:szCs w:val="18"/>
              </w:rPr>
              <w:t> </w:t>
            </w:r>
          </w:p>
        </w:tc>
        <w:tc>
          <w:tcPr>
            <w:tcW w:w="1250" w:type="pct"/>
            <w:gridSpan w:val="3"/>
            <w:tcBorders>
              <w:top w:val="single" w:sz="4" w:space="0" w:color="auto"/>
              <w:bottom w:val="single" w:sz="4" w:space="0" w:color="auto"/>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Historik</w:t>
            </w:r>
          </w:p>
        </w:tc>
        <w:tc>
          <w:tcPr>
            <w:tcW w:w="1250" w:type="pct"/>
            <w:gridSpan w:val="3"/>
            <w:tcBorders>
              <w:top w:val="single" w:sz="4" w:space="0" w:color="auto"/>
              <w:bottom w:val="single" w:sz="4" w:space="0" w:color="auto"/>
            </w:tcBorders>
            <w:shd w:val="clear" w:color="auto" w:fill="auto"/>
            <w:noWrap/>
            <w:vAlign w:val="bottom"/>
            <w:hideMark/>
          </w:tcPr>
          <w:p w:rsidR="00926100" w:rsidRPr="00926100" w:rsidRDefault="00926100" w:rsidP="00926100">
            <w:pPr>
              <w:jc w:val="center"/>
              <w:rPr>
                <w:rFonts w:ascii="Calibri" w:hAnsi="Calibri" w:cs="Calibri"/>
                <w:b/>
                <w:bCs/>
                <w:i/>
                <w:iCs/>
                <w:color w:val="000000"/>
                <w:sz w:val="18"/>
                <w:szCs w:val="18"/>
              </w:rPr>
            </w:pPr>
            <w:r w:rsidRPr="00926100">
              <w:rPr>
                <w:rFonts w:ascii="Calibri" w:hAnsi="Calibri" w:cs="Calibri"/>
                <w:b/>
                <w:bCs/>
                <w:i/>
                <w:iCs/>
                <w:color w:val="000000"/>
                <w:sz w:val="18"/>
                <w:szCs w:val="18"/>
              </w:rPr>
              <w:t>Prognose</w:t>
            </w:r>
          </w:p>
        </w:tc>
        <w:tc>
          <w:tcPr>
            <w:tcW w:w="1250" w:type="pct"/>
            <w:gridSpan w:val="3"/>
            <w:tcBorders>
              <w:top w:val="single" w:sz="4" w:space="0" w:color="auto"/>
              <w:bottom w:val="single" w:sz="4" w:space="0" w:color="auto"/>
              <w:right w:val="nil"/>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Ændring fra 2020-2023</w:t>
            </w:r>
          </w:p>
        </w:tc>
      </w:tr>
      <w:tr w:rsidR="00EA5F14" w:rsidRPr="00926100" w:rsidTr="006B22D3">
        <w:trPr>
          <w:trHeight w:val="315"/>
        </w:trPr>
        <w:tc>
          <w:tcPr>
            <w:tcW w:w="55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rPr>
                <w:rFonts w:ascii="Calibri" w:hAnsi="Calibri" w:cs="Calibri"/>
                <w:color w:val="000000"/>
                <w:sz w:val="18"/>
                <w:szCs w:val="18"/>
              </w:rPr>
            </w:pPr>
            <w:r w:rsidRPr="00926100">
              <w:rPr>
                <w:rFonts w:ascii="Calibri" w:hAnsi="Calibri" w:cs="Calibri"/>
                <w:color w:val="000000"/>
                <w:sz w:val="18"/>
                <w:szCs w:val="18"/>
              </w:rPr>
              <w:t> </w:t>
            </w:r>
          </w:p>
        </w:tc>
        <w:tc>
          <w:tcPr>
            <w:tcW w:w="555" w:type="pct"/>
            <w:tcBorders>
              <w:top w:val="single" w:sz="4" w:space="0" w:color="auto"/>
              <w:left w:val="single" w:sz="4" w:space="0" w:color="auto"/>
              <w:bottom w:val="single" w:sz="4" w:space="0" w:color="auto"/>
              <w:right w:val="nil"/>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2018</w:t>
            </w:r>
          </w:p>
        </w:tc>
        <w:tc>
          <w:tcPr>
            <w:tcW w:w="555" w:type="pct"/>
            <w:gridSpan w:val="2"/>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2019</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2020</w:t>
            </w:r>
          </w:p>
        </w:tc>
        <w:tc>
          <w:tcPr>
            <w:tcW w:w="556" w:type="pct"/>
            <w:gridSpan w:val="2"/>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2021</w:t>
            </w:r>
          </w:p>
        </w:tc>
        <w:tc>
          <w:tcPr>
            <w:tcW w:w="55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2022</w:t>
            </w:r>
          </w:p>
        </w:tc>
        <w:tc>
          <w:tcPr>
            <w:tcW w:w="555" w:type="pct"/>
            <w:gridSpan w:val="2"/>
            <w:tcBorders>
              <w:top w:val="single" w:sz="4" w:space="0" w:color="auto"/>
              <w:left w:val="nil"/>
              <w:bottom w:val="single" w:sz="4" w:space="0" w:color="auto"/>
              <w:right w:val="single" w:sz="4" w:space="0" w:color="auto"/>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2023</w:t>
            </w:r>
          </w:p>
        </w:tc>
        <w:tc>
          <w:tcPr>
            <w:tcW w:w="55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Antal</w:t>
            </w:r>
          </w:p>
        </w:tc>
        <w:tc>
          <w:tcPr>
            <w:tcW w:w="559"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center"/>
              <w:rPr>
                <w:rFonts w:ascii="Calibri" w:hAnsi="Calibri" w:cs="Calibri"/>
                <w:b/>
                <w:bCs/>
                <w:color w:val="000000"/>
                <w:sz w:val="18"/>
                <w:szCs w:val="18"/>
              </w:rPr>
            </w:pPr>
            <w:r w:rsidRPr="00926100">
              <w:rPr>
                <w:rFonts w:ascii="Calibri" w:hAnsi="Calibri" w:cs="Calibri"/>
                <w:b/>
                <w:bCs/>
                <w:color w:val="000000"/>
                <w:sz w:val="18"/>
                <w:szCs w:val="18"/>
              </w:rPr>
              <w:t>%</w:t>
            </w:r>
          </w:p>
        </w:tc>
      </w:tr>
      <w:tr w:rsidR="00EA5F14" w:rsidRPr="00926100" w:rsidTr="006B22D3">
        <w:trPr>
          <w:trHeight w:val="315"/>
        </w:trPr>
        <w:tc>
          <w:tcPr>
            <w:tcW w:w="55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0-5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1.168</w:t>
            </w:r>
          </w:p>
        </w:tc>
        <w:tc>
          <w:tcPr>
            <w:tcW w:w="555" w:type="pct"/>
            <w:gridSpan w:val="2"/>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1.111</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1.064</w:t>
            </w:r>
          </w:p>
        </w:tc>
        <w:tc>
          <w:tcPr>
            <w:tcW w:w="556" w:type="pct"/>
            <w:gridSpan w:val="2"/>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1.082</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1.066</w:t>
            </w:r>
          </w:p>
        </w:tc>
        <w:tc>
          <w:tcPr>
            <w:tcW w:w="555" w:type="pct"/>
            <w:gridSpan w:val="2"/>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1.059</w:t>
            </w:r>
          </w:p>
        </w:tc>
        <w:tc>
          <w:tcPr>
            <w:tcW w:w="555" w:type="pct"/>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-5</w:t>
            </w:r>
          </w:p>
        </w:tc>
        <w:tc>
          <w:tcPr>
            <w:tcW w:w="559"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-0,50%</w:t>
            </w:r>
          </w:p>
        </w:tc>
      </w:tr>
      <w:tr w:rsidR="00EA5F14" w:rsidRPr="00926100" w:rsidTr="006B22D3">
        <w:trPr>
          <w:trHeight w:val="315"/>
        </w:trPr>
        <w:tc>
          <w:tcPr>
            <w:tcW w:w="55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6-16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2.160</w:t>
            </w:r>
          </w:p>
        </w:tc>
        <w:tc>
          <w:tcPr>
            <w:tcW w:w="555" w:type="pct"/>
            <w:gridSpan w:val="2"/>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2.120</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2.074</w:t>
            </w:r>
          </w:p>
        </w:tc>
        <w:tc>
          <w:tcPr>
            <w:tcW w:w="556" w:type="pct"/>
            <w:gridSpan w:val="2"/>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2.050</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2.026</w:t>
            </w:r>
          </w:p>
        </w:tc>
        <w:tc>
          <w:tcPr>
            <w:tcW w:w="555" w:type="pct"/>
            <w:gridSpan w:val="2"/>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1.988</w:t>
            </w:r>
          </w:p>
        </w:tc>
        <w:tc>
          <w:tcPr>
            <w:tcW w:w="555" w:type="pct"/>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-86</w:t>
            </w:r>
          </w:p>
        </w:tc>
        <w:tc>
          <w:tcPr>
            <w:tcW w:w="559"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-4,16%</w:t>
            </w:r>
          </w:p>
        </w:tc>
      </w:tr>
      <w:tr w:rsidR="00EA5F14" w:rsidRPr="00926100" w:rsidTr="006B22D3">
        <w:trPr>
          <w:trHeight w:val="315"/>
        </w:trPr>
        <w:tc>
          <w:tcPr>
            <w:tcW w:w="55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17-66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9.396</w:t>
            </w:r>
          </w:p>
        </w:tc>
        <w:tc>
          <w:tcPr>
            <w:tcW w:w="555" w:type="pct"/>
            <w:gridSpan w:val="2"/>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9.168</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8.975</w:t>
            </w:r>
          </w:p>
        </w:tc>
        <w:tc>
          <w:tcPr>
            <w:tcW w:w="556" w:type="pct"/>
            <w:gridSpan w:val="2"/>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8.959</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8.824</w:t>
            </w:r>
          </w:p>
        </w:tc>
        <w:tc>
          <w:tcPr>
            <w:tcW w:w="555" w:type="pct"/>
            <w:gridSpan w:val="2"/>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8.709</w:t>
            </w:r>
          </w:p>
        </w:tc>
        <w:tc>
          <w:tcPr>
            <w:tcW w:w="555" w:type="pct"/>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-266</w:t>
            </w:r>
          </w:p>
        </w:tc>
        <w:tc>
          <w:tcPr>
            <w:tcW w:w="559"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-2,97%</w:t>
            </w:r>
          </w:p>
        </w:tc>
      </w:tr>
      <w:tr w:rsidR="00EA5F14" w:rsidRPr="00926100" w:rsidTr="006B22D3">
        <w:trPr>
          <w:trHeight w:val="315"/>
        </w:trPr>
        <w:tc>
          <w:tcPr>
            <w:tcW w:w="55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67-79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1.558</w:t>
            </w:r>
          </w:p>
        </w:tc>
        <w:tc>
          <w:tcPr>
            <w:tcW w:w="555" w:type="pct"/>
            <w:gridSpan w:val="2"/>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1.538</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1.563</w:t>
            </w:r>
          </w:p>
        </w:tc>
        <w:tc>
          <w:tcPr>
            <w:tcW w:w="556" w:type="pct"/>
            <w:gridSpan w:val="2"/>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1.586</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1.614</w:t>
            </w:r>
          </w:p>
        </w:tc>
        <w:tc>
          <w:tcPr>
            <w:tcW w:w="555" w:type="pct"/>
            <w:gridSpan w:val="2"/>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1.608</w:t>
            </w:r>
          </w:p>
        </w:tc>
        <w:tc>
          <w:tcPr>
            <w:tcW w:w="555" w:type="pct"/>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45</w:t>
            </w:r>
          </w:p>
        </w:tc>
        <w:tc>
          <w:tcPr>
            <w:tcW w:w="559"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2,89%</w:t>
            </w:r>
          </w:p>
        </w:tc>
      </w:tr>
      <w:tr w:rsidR="00EA5F14" w:rsidRPr="00926100" w:rsidTr="006B22D3">
        <w:trPr>
          <w:trHeight w:val="315"/>
        </w:trPr>
        <w:tc>
          <w:tcPr>
            <w:tcW w:w="555" w:type="pct"/>
            <w:tcBorders>
              <w:top w:val="nil"/>
              <w:left w:val="nil"/>
              <w:bottom w:val="nil"/>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+80 år</w:t>
            </w:r>
          </w:p>
        </w:tc>
        <w:tc>
          <w:tcPr>
            <w:tcW w:w="555" w:type="pct"/>
            <w:tcBorders>
              <w:top w:val="nil"/>
              <w:left w:val="single" w:sz="4" w:space="0" w:color="auto"/>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435</w:t>
            </w:r>
          </w:p>
        </w:tc>
        <w:tc>
          <w:tcPr>
            <w:tcW w:w="555" w:type="pct"/>
            <w:gridSpan w:val="2"/>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454</w:t>
            </w:r>
          </w:p>
        </w:tc>
        <w:tc>
          <w:tcPr>
            <w:tcW w:w="555" w:type="pct"/>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46</w:t>
            </w:r>
            <w:r w:rsidR="00EA5F14">
              <w:rPr>
                <w:rFonts w:ascii="Calibri" w:hAnsi="Calibri" w:cs="Calibri"/>
                <w:color w:val="000000"/>
                <w:sz w:val="18"/>
                <w:szCs w:val="18"/>
              </w:rPr>
              <w:t>3</w:t>
            </w:r>
          </w:p>
        </w:tc>
        <w:tc>
          <w:tcPr>
            <w:tcW w:w="556" w:type="pct"/>
            <w:gridSpan w:val="2"/>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480</w:t>
            </w:r>
          </w:p>
        </w:tc>
        <w:tc>
          <w:tcPr>
            <w:tcW w:w="555"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493</w:t>
            </w:r>
          </w:p>
        </w:tc>
        <w:tc>
          <w:tcPr>
            <w:tcW w:w="555" w:type="pct"/>
            <w:gridSpan w:val="2"/>
            <w:tcBorders>
              <w:top w:val="nil"/>
              <w:left w:val="nil"/>
              <w:bottom w:val="nil"/>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51</w:t>
            </w:r>
            <w:r w:rsidR="00EA5F14">
              <w:rPr>
                <w:rFonts w:ascii="Calibri" w:hAnsi="Calibri" w:cs="Calibri"/>
                <w:color w:val="000000"/>
                <w:sz w:val="18"/>
                <w:szCs w:val="18"/>
              </w:rPr>
              <w:t>1</w:t>
            </w:r>
          </w:p>
        </w:tc>
        <w:tc>
          <w:tcPr>
            <w:tcW w:w="555" w:type="pct"/>
            <w:tcBorders>
              <w:top w:val="nil"/>
              <w:left w:val="nil"/>
              <w:bottom w:val="nil"/>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48</w:t>
            </w:r>
          </w:p>
        </w:tc>
        <w:tc>
          <w:tcPr>
            <w:tcW w:w="559" w:type="pct"/>
            <w:tcBorders>
              <w:top w:val="nil"/>
              <w:left w:val="nil"/>
              <w:bottom w:val="nil"/>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10,37%</w:t>
            </w:r>
          </w:p>
        </w:tc>
      </w:tr>
      <w:tr w:rsidR="00EA5F14" w:rsidRPr="00926100" w:rsidTr="006B22D3">
        <w:trPr>
          <w:trHeight w:val="315"/>
        </w:trPr>
        <w:tc>
          <w:tcPr>
            <w:tcW w:w="55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rPr>
                <w:rFonts w:ascii="Calibri" w:hAnsi="Calibri" w:cs="Calibri"/>
                <w:b/>
                <w:bCs/>
                <w:color w:val="000000"/>
                <w:sz w:val="18"/>
                <w:szCs w:val="18"/>
              </w:rPr>
            </w:pPr>
            <w:r w:rsidRPr="00926100">
              <w:rPr>
                <w:rFonts w:ascii="Calibri" w:hAnsi="Calibri" w:cs="Calibri"/>
                <w:b/>
                <w:bCs/>
                <w:color w:val="000000"/>
                <w:sz w:val="18"/>
                <w:szCs w:val="18"/>
              </w:rPr>
              <w:t>I alt</w:t>
            </w:r>
          </w:p>
        </w:tc>
        <w:tc>
          <w:tcPr>
            <w:tcW w:w="555" w:type="pct"/>
            <w:tcBorders>
              <w:top w:val="single" w:sz="4" w:space="0" w:color="auto"/>
              <w:left w:val="single" w:sz="4" w:space="0" w:color="auto"/>
              <w:bottom w:val="single" w:sz="4" w:space="0" w:color="auto"/>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14.717</w:t>
            </w:r>
          </w:p>
        </w:tc>
        <w:tc>
          <w:tcPr>
            <w:tcW w:w="555" w:type="pct"/>
            <w:gridSpan w:val="2"/>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54BB0">
            <w:pPr>
              <w:jc w:val="center"/>
              <w:rPr>
                <w:rFonts w:ascii="Calibri" w:hAnsi="Calibri" w:cs="Calibri"/>
                <w:color w:val="000000"/>
                <w:sz w:val="18"/>
                <w:szCs w:val="18"/>
              </w:rPr>
            </w:pPr>
            <w:r w:rsidRPr="00926100">
              <w:rPr>
                <w:rFonts w:ascii="Calibri" w:hAnsi="Calibri" w:cs="Calibri"/>
                <w:color w:val="000000"/>
                <w:sz w:val="18"/>
                <w:szCs w:val="18"/>
              </w:rPr>
              <w:t>14.391</w:t>
            </w:r>
          </w:p>
        </w:tc>
        <w:tc>
          <w:tcPr>
            <w:tcW w:w="555" w:type="pct"/>
            <w:tcBorders>
              <w:top w:val="single" w:sz="4" w:space="0" w:color="auto"/>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14.13</w:t>
            </w:r>
            <w:r w:rsidR="00EA5F14">
              <w:rPr>
                <w:rFonts w:ascii="Calibri" w:hAnsi="Calibri" w:cs="Calibri"/>
                <w:color w:val="000000"/>
                <w:sz w:val="18"/>
                <w:szCs w:val="18"/>
              </w:rPr>
              <w:t>9</w:t>
            </w:r>
          </w:p>
        </w:tc>
        <w:tc>
          <w:tcPr>
            <w:tcW w:w="556" w:type="pct"/>
            <w:gridSpan w:val="2"/>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14.157</w:t>
            </w:r>
          </w:p>
        </w:tc>
        <w:tc>
          <w:tcPr>
            <w:tcW w:w="55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14.022</w:t>
            </w:r>
          </w:p>
        </w:tc>
        <w:tc>
          <w:tcPr>
            <w:tcW w:w="555" w:type="pct"/>
            <w:gridSpan w:val="2"/>
            <w:tcBorders>
              <w:top w:val="single" w:sz="4" w:space="0" w:color="auto"/>
              <w:left w:val="nil"/>
              <w:bottom w:val="single" w:sz="4" w:space="0" w:color="auto"/>
              <w:right w:val="single" w:sz="4" w:space="0" w:color="auto"/>
            </w:tcBorders>
            <w:shd w:val="clear" w:color="auto" w:fill="auto"/>
            <w:noWrap/>
            <w:vAlign w:val="bottom"/>
            <w:hideMark/>
          </w:tcPr>
          <w:p w:rsidR="00926100" w:rsidRPr="00926100" w:rsidRDefault="00926100" w:rsidP="00926100">
            <w:pPr>
              <w:jc w:val="right"/>
              <w:rPr>
                <w:rFonts w:ascii="Calibri" w:hAnsi="Calibri" w:cs="Calibri"/>
                <w:color w:val="000000"/>
                <w:sz w:val="18"/>
                <w:szCs w:val="18"/>
              </w:rPr>
            </w:pPr>
            <w:r w:rsidRPr="00926100">
              <w:rPr>
                <w:rFonts w:ascii="Calibri" w:hAnsi="Calibri" w:cs="Calibri"/>
                <w:color w:val="000000"/>
                <w:sz w:val="18"/>
                <w:szCs w:val="18"/>
              </w:rPr>
              <w:t>13.87</w:t>
            </w:r>
            <w:r w:rsidR="00EA5F14">
              <w:rPr>
                <w:rFonts w:ascii="Calibri" w:hAnsi="Calibri" w:cs="Calibri"/>
                <w:color w:val="000000"/>
                <w:sz w:val="18"/>
                <w:szCs w:val="18"/>
              </w:rPr>
              <w:t>4</w:t>
            </w:r>
          </w:p>
        </w:tc>
        <w:tc>
          <w:tcPr>
            <w:tcW w:w="555"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54BB0">
            <w:pPr>
              <w:jc w:val="center"/>
              <w:rPr>
                <w:rFonts w:ascii="Calibri" w:hAnsi="Calibri" w:cs="Calibri"/>
                <w:b/>
                <w:bCs/>
                <w:color w:val="000000"/>
                <w:sz w:val="18"/>
                <w:szCs w:val="18"/>
              </w:rPr>
            </w:pPr>
            <w:r w:rsidRPr="00926100">
              <w:rPr>
                <w:rFonts w:ascii="Calibri" w:hAnsi="Calibri" w:cs="Calibri"/>
                <w:b/>
                <w:bCs/>
                <w:color w:val="000000"/>
                <w:sz w:val="18"/>
                <w:szCs w:val="18"/>
              </w:rPr>
              <w:t>-265</w:t>
            </w:r>
          </w:p>
        </w:tc>
        <w:tc>
          <w:tcPr>
            <w:tcW w:w="559" w:type="pct"/>
            <w:tcBorders>
              <w:top w:val="single" w:sz="4" w:space="0" w:color="auto"/>
              <w:left w:val="nil"/>
              <w:bottom w:val="single" w:sz="4" w:space="0" w:color="auto"/>
              <w:right w:val="nil"/>
            </w:tcBorders>
            <w:shd w:val="clear" w:color="auto" w:fill="auto"/>
            <w:noWrap/>
            <w:vAlign w:val="bottom"/>
            <w:hideMark/>
          </w:tcPr>
          <w:p w:rsidR="00926100" w:rsidRPr="00926100" w:rsidRDefault="00926100" w:rsidP="00926100">
            <w:pPr>
              <w:jc w:val="right"/>
              <w:rPr>
                <w:rFonts w:ascii="Calibri" w:hAnsi="Calibri" w:cs="Calibri"/>
                <w:b/>
                <w:bCs/>
                <w:color w:val="000000"/>
                <w:sz w:val="18"/>
                <w:szCs w:val="18"/>
              </w:rPr>
            </w:pPr>
            <w:r w:rsidRPr="00926100">
              <w:rPr>
                <w:rFonts w:ascii="Calibri" w:hAnsi="Calibri" w:cs="Calibri"/>
                <w:b/>
                <w:bCs/>
                <w:color w:val="000000"/>
                <w:sz w:val="18"/>
                <w:szCs w:val="18"/>
              </w:rPr>
              <w:t>-1,87%</w:t>
            </w:r>
          </w:p>
        </w:tc>
      </w:tr>
    </w:tbl>
    <w:p w:rsidR="006D04C4" w:rsidRPr="00D30D29" w:rsidRDefault="006D04C4" w:rsidP="006D04C4">
      <w:pPr>
        <w:rPr>
          <w:highlight w:val="yellow"/>
        </w:rPr>
      </w:pPr>
    </w:p>
    <w:p w:rsidR="006D04C4" w:rsidRPr="00BE6B7B" w:rsidRDefault="006D04C4" w:rsidP="006D04C4">
      <w:r w:rsidRPr="00BE6B7B">
        <w:t xml:space="preserve">Som det fremgår af tabellen, forventes det samlede befolkningstal i Brøndby Strand at udvikle sig </w:t>
      </w:r>
      <w:r w:rsidR="00996F04" w:rsidRPr="00BE6B7B">
        <w:t>i en nedadgående retning fra 2020 til 2023</w:t>
      </w:r>
      <w:r w:rsidR="00C96F1A" w:rsidRPr="00BE6B7B">
        <w:t>, hvor der forventes et</w:t>
      </w:r>
      <w:r w:rsidRPr="00BE6B7B">
        <w:t xml:space="preserve"> fald på </w:t>
      </w:r>
      <w:r w:rsidR="00996F04" w:rsidRPr="00BE6B7B">
        <w:t>1,9</w:t>
      </w:r>
      <w:r w:rsidRPr="00BE6B7B">
        <w:t xml:space="preserve"> pct., svarende til </w:t>
      </w:r>
      <w:r w:rsidR="00996F04" w:rsidRPr="00BE6B7B">
        <w:t>en tilbagegang på 265</w:t>
      </w:r>
      <w:r w:rsidRPr="00BE6B7B">
        <w:t xml:space="preserve"> personer.</w:t>
      </w:r>
    </w:p>
    <w:p w:rsidR="006D04C4" w:rsidRPr="00BE6B7B" w:rsidRDefault="006D04C4" w:rsidP="006D04C4">
      <w:pPr>
        <w:pStyle w:val="Billedtekst"/>
      </w:pPr>
    </w:p>
    <w:p w:rsidR="006D04C4" w:rsidRPr="00BE6B7B" w:rsidRDefault="006D04C4" w:rsidP="006D04C4">
      <w:r w:rsidRPr="00BE6B7B">
        <w:t>Fordelt på aldersgrupperne kan Brøn</w:t>
      </w:r>
      <w:r w:rsidR="00C96F1A" w:rsidRPr="00BE6B7B">
        <w:t>dby Strand forvente et</w:t>
      </w:r>
      <w:r w:rsidRPr="00BE6B7B">
        <w:t xml:space="preserve"> fald i antallet af småbørn på </w:t>
      </w:r>
      <w:r w:rsidR="00996F04" w:rsidRPr="00BE6B7B">
        <w:t>0</w:t>
      </w:r>
      <w:r w:rsidR="00C96F1A" w:rsidRPr="00BE6B7B">
        <w:t>,5</w:t>
      </w:r>
      <w:r w:rsidRPr="00BE6B7B">
        <w:t xml:space="preserve"> pct. svarende til </w:t>
      </w:r>
      <w:r w:rsidR="00996F04" w:rsidRPr="00BE6B7B">
        <w:t>5</w:t>
      </w:r>
      <w:r w:rsidRPr="00BE6B7B">
        <w:t xml:space="preserve"> personer, mens gruppen af skolebørn forventes at falde med </w:t>
      </w:r>
      <w:r w:rsidR="00996F04" w:rsidRPr="00BE6B7B">
        <w:t>4,2</w:t>
      </w:r>
      <w:r w:rsidRPr="00BE6B7B">
        <w:t xml:space="preserve"> pct. svarende til</w:t>
      </w:r>
      <w:r w:rsidR="00C96F1A" w:rsidRPr="00BE6B7B">
        <w:t xml:space="preserve"> et fald</w:t>
      </w:r>
      <w:r w:rsidR="00996F04" w:rsidRPr="00BE6B7B">
        <w:t xml:space="preserve"> på 86</w:t>
      </w:r>
      <w:r w:rsidRPr="00BE6B7B">
        <w:t xml:space="preserve"> personer. Antallet af erhvervsaktive forventes også at være faldende, målt i personer </w:t>
      </w:r>
      <w:r w:rsidR="00996F04" w:rsidRPr="00BE6B7B">
        <w:t>med 266</w:t>
      </w:r>
      <w:r w:rsidRPr="00BE6B7B">
        <w:t xml:space="preserve">, svarende til et fald på </w:t>
      </w:r>
      <w:r w:rsidR="00996F04" w:rsidRPr="00BE6B7B">
        <w:t>knap 3,0</w:t>
      </w:r>
      <w:r w:rsidR="00580B79" w:rsidRPr="00BE6B7B">
        <w:t xml:space="preserve"> pct. </w:t>
      </w:r>
      <w:r w:rsidRPr="00BE6B7B">
        <w:t>De ældre aldersgrupper s</w:t>
      </w:r>
      <w:r w:rsidR="00996F04" w:rsidRPr="00BE6B7B">
        <w:t>t</w:t>
      </w:r>
      <w:r w:rsidRPr="00BE6B7B">
        <w:t>iger derimod</w:t>
      </w:r>
      <w:r w:rsidR="00996F04" w:rsidRPr="00BE6B7B">
        <w:t>,</w:t>
      </w:r>
      <w:r w:rsidR="00360E4E" w:rsidRPr="00BE6B7B">
        <w:t xml:space="preserve"> hvilket viderefører tendensen fra sidste år</w:t>
      </w:r>
      <w:r w:rsidRPr="00BE6B7B">
        <w:t>. Der forventes stigninger i antallet af ældre på 67-79 år</w:t>
      </w:r>
      <w:r w:rsidR="00996F04" w:rsidRPr="00BE6B7B">
        <w:t xml:space="preserve"> på 2,9</w:t>
      </w:r>
      <w:r w:rsidRPr="00BE6B7B">
        <w:t xml:space="preserve"> pct., sva</w:t>
      </w:r>
      <w:r w:rsidR="00996F04" w:rsidRPr="00BE6B7B">
        <w:t>rende til 45</w:t>
      </w:r>
      <w:r w:rsidRPr="00BE6B7B">
        <w:t xml:space="preserve"> flere personer. Antallet af de +80 forventes at udgøre</w:t>
      </w:r>
      <w:r w:rsidR="00996F04" w:rsidRPr="00BE6B7B">
        <w:t xml:space="preserve"> 10,4</w:t>
      </w:r>
      <w:r w:rsidRPr="00BE6B7B">
        <w:t xml:space="preserve"> </w:t>
      </w:r>
      <w:r w:rsidR="008B092D">
        <w:t>pct., svarende til at der i 2023</w:t>
      </w:r>
      <w:r w:rsidR="00996F04" w:rsidRPr="00BE6B7B">
        <w:t xml:space="preserve"> vil være 48</w:t>
      </w:r>
      <w:r w:rsidRPr="00BE6B7B">
        <w:t xml:space="preserve"> flere borgere på +80 år eller der</w:t>
      </w:r>
      <w:r w:rsidR="00996F04" w:rsidRPr="00BE6B7B">
        <w:t>over end pr. 1. januar 2020</w:t>
      </w:r>
      <w:r w:rsidRPr="00BE6B7B">
        <w:t xml:space="preserve">. </w:t>
      </w:r>
    </w:p>
    <w:p w:rsidR="006D04C4" w:rsidRPr="00BE6B7B" w:rsidRDefault="006D04C4" w:rsidP="006D04C4"/>
    <w:p w:rsidR="006D04C4" w:rsidRPr="00BE6B7B" w:rsidRDefault="006D04C4" w:rsidP="006D04C4">
      <w:r w:rsidRPr="00BE6B7B">
        <w:t xml:space="preserve">Udviklingen blandt småbørnene (0-5 </w:t>
      </w:r>
      <w:r w:rsidR="00BE6B7B" w:rsidRPr="00BE6B7B">
        <w:t>år) i Brøndby Strand er</w:t>
      </w:r>
      <w:r w:rsidRPr="00BE6B7B">
        <w:t xml:space="preserve"> </w:t>
      </w:r>
      <w:r w:rsidR="00360E4E" w:rsidRPr="00BE6B7B">
        <w:t>ligesom i Brøndbyøster</w:t>
      </w:r>
      <w:r w:rsidRPr="00BE6B7B">
        <w:t xml:space="preserve"> </w:t>
      </w:r>
      <w:r w:rsidR="00BE6B7B" w:rsidRPr="00BE6B7B">
        <w:t>nogenlunde status quo. F</w:t>
      </w:r>
      <w:r w:rsidRPr="00BE6B7B">
        <w:t>ald</w:t>
      </w:r>
      <w:r w:rsidR="00580B79" w:rsidRPr="00BE6B7B">
        <w:t>et</w:t>
      </w:r>
      <w:r w:rsidRPr="00BE6B7B">
        <w:t xml:space="preserve"> i antallet af skolebørn (6-16 år) står i kontrast til de relativt høje stigninger der er i de andre bydele i kommunen. Faldet i antallet af erhvervsaktive (17-66 år) er også kun kendetegnende for denne bydel end for kommunen som helhed, alt</w:t>
      </w:r>
      <w:r w:rsidR="00580B79" w:rsidRPr="00BE6B7B">
        <w:t xml:space="preserve"> imens stigningen </w:t>
      </w:r>
      <w:r w:rsidRPr="00BE6B7B">
        <w:t>+80-årige er markant større i Brøndby Strand end for de øvrige bydele</w:t>
      </w:r>
      <w:r w:rsidR="00580B79" w:rsidRPr="00BE6B7B">
        <w:t xml:space="preserve"> hvor der skønnes et fald. Stigningen i 67-79 årige er lavere end den forventede udvikling i Brøndbyvester men dog med et positivt skøn. Her er Brøndbyøster den eneste bydel hvor der skønnes et fald.</w:t>
      </w:r>
    </w:p>
    <w:p w:rsidR="006D04C4" w:rsidRPr="00BE6B7B" w:rsidRDefault="006D04C4" w:rsidP="006D04C4"/>
    <w:p w:rsidR="0060502D" w:rsidRPr="008444CA" w:rsidRDefault="006D04C4" w:rsidP="0060502D">
      <w:pPr>
        <w:pStyle w:val="Overskrift1"/>
        <w:keepLines w:val="0"/>
        <w:spacing w:before="240" w:after="60"/>
        <w:ind w:left="432"/>
        <w:jc w:val="both"/>
      </w:pPr>
      <w:r w:rsidRPr="00D30D29">
        <w:rPr>
          <w:highlight w:val="yellow"/>
        </w:rPr>
        <w:br w:type="page"/>
      </w:r>
      <w:r w:rsidR="0060502D" w:rsidRPr="008444CA">
        <w:lastRenderedPageBreak/>
        <w:t xml:space="preserve"> </w:t>
      </w:r>
    </w:p>
    <w:p w:rsidR="006D04C4" w:rsidRPr="008444CA" w:rsidRDefault="006D04C4" w:rsidP="006D04C4">
      <w:pPr>
        <w:pStyle w:val="Overskrift1"/>
        <w:keepLines w:val="0"/>
        <w:numPr>
          <w:ilvl w:val="0"/>
          <w:numId w:val="5"/>
        </w:numPr>
        <w:tabs>
          <w:tab w:val="num" w:pos="574"/>
        </w:tabs>
        <w:spacing w:before="240" w:after="60"/>
        <w:ind w:hanging="574"/>
        <w:jc w:val="both"/>
      </w:pPr>
      <w:bookmarkStart w:id="27" w:name="_Toc38356014"/>
      <w:r w:rsidRPr="008444CA">
        <w:t>Præcision</w:t>
      </w:r>
      <w:bookmarkEnd w:id="27"/>
    </w:p>
    <w:p w:rsidR="006D04C4" w:rsidRPr="00BA30EC" w:rsidRDefault="006D04C4" w:rsidP="006D04C4">
      <w:pPr>
        <w:pStyle w:val="Normal1"/>
        <w:rPr>
          <w:rFonts w:ascii="Arial" w:hAnsi="Arial" w:cs="Arial"/>
          <w:sz w:val="22"/>
          <w:szCs w:val="22"/>
          <w:lang w:eastAsia="en-US"/>
        </w:rPr>
      </w:pPr>
      <w:r w:rsidRPr="00BA30EC">
        <w:rPr>
          <w:rFonts w:ascii="Arial" w:hAnsi="Arial" w:cs="Arial"/>
          <w:sz w:val="22"/>
          <w:szCs w:val="22"/>
          <w:lang w:eastAsia="en-US"/>
        </w:rPr>
        <w:t xml:space="preserve">Brøndby Kommune har, som tidligere nævnt, siden 2013 anvendt prognosemodellen DemoGrafix som er udarbejdet af COWI. </w:t>
      </w:r>
    </w:p>
    <w:p w:rsidR="006D04C4" w:rsidRPr="00BA30EC" w:rsidRDefault="006D04C4" w:rsidP="006D04C4">
      <w:pPr>
        <w:pStyle w:val="Normal1"/>
        <w:rPr>
          <w:rFonts w:ascii="Arial" w:hAnsi="Arial" w:cs="Arial"/>
          <w:sz w:val="22"/>
          <w:szCs w:val="22"/>
          <w:lang w:eastAsia="en-US"/>
        </w:rPr>
      </w:pPr>
    </w:p>
    <w:p w:rsidR="006D04C4" w:rsidRPr="00BA30EC" w:rsidRDefault="006D04C4" w:rsidP="006D04C4">
      <w:pPr>
        <w:pStyle w:val="Normal1"/>
        <w:rPr>
          <w:rFonts w:ascii="Arial" w:hAnsi="Arial" w:cs="Arial"/>
          <w:sz w:val="22"/>
          <w:szCs w:val="22"/>
          <w:lang w:eastAsia="en-US"/>
        </w:rPr>
      </w:pPr>
      <w:r w:rsidRPr="00BA30EC">
        <w:rPr>
          <w:rFonts w:ascii="Arial" w:hAnsi="Arial" w:cs="Arial"/>
          <w:sz w:val="22"/>
          <w:szCs w:val="22"/>
          <w:lang w:eastAsia="en-US"/>
        </w:rPr>
        <w:t>Nedstående figur viser afvigelserne fra prognosens forudsigelser på befolkningstallet i forhold til de faktiske tal. Som figuren illustrerer, er prognosens forudsigelser tæt på i 2015 og 2016, mens befolkningstallet igen ”tager en afstikker” i 2017, hvor der samlet set var en forskel på 418 personer mellem det faktiske folketal og det prognosticerede.</w:t>
      </w:r>
      <w:r w:rsidR="00BA30EC" w:rsidRPr="00BA30EC">
        <w:rPr>
          <w:rFonts w:ascii="Arial" w:hAnsi="Arial" w:cs="Arial"/>
          <w:sz w:val="22"/>
          <w:szCs w:val="22"/>
          <w:lang w:eastAsia="en-US"/>
        </w:rPr>
        <w:t xml:space="preserve"> Denne tendens fortsætter for prognosen i 2018 </w:t>
      </w:r>
      <w:r w:rsidR="00BE6B7B">
        <w:rPr>
          <w:rFonts w:ascii="Arial" w:hAnsi="Arial" w:cs="Arial"/>
          <w:sz w:val="22"/>
          <w:szCs w:val="22"/>
          <w:lang w:eastAsia="en-US"/>
        </w:rPr>
        <w:t>og det seneste realiserede prognoseår 2019. Forskellen er på 215 personer</w:t>
      </w:r>
      <w:r w:rsidR="00BA30EC" w:rsidRPr="00BA30EC">
        <w:rPr>
          <w:rFonts w:ascii="Arial" w:hAnsi="Arial" w:cs="Arial"/>
          <w:sz w:val="22"/>
          <w:szCs w:val="22"/>
          <w:lang w:eastAsia="en-US"/>
        </w:rPr>
        <w:t xml:space="preserve">. Forskellen er </w:t>
      </w:r>
      <w:r w:rsidR="00BE6B7B">
        <w:rPr>
          <w:rFonts w:ascii="Arial" w:hAnsi="Arial" w:cs="Arial"/>
          <w:sz w:val="22"/>
          <w:szCs w:val="22"/>
          <w:lang w:eastAsia="en-US"/>
        </w:rPr>
        <w:t>lavere end den har været i både 2017 og 2018. Her var forskellene henholdsvis 418 og 253 personer. Tilbage i 2016 var der ”næsten” overensstemmelse mellem den forventede udvikling og den faktiske udvikling.</w:t>
      </w:r>
    </w:p>
    <w:p w:rsidR="006D04C4" w:rsidRPr="008444CA" w:rsidRDefault="006D04C4" w:rsidP="006D04C4">
      <w:pPr>
        <w:pStyle w:val="Normal1"/>
        <w:rPr>
          <w:lang w:eastAsia="en-US"/>
        </w:rPr>
      </w:pPr>
    </w:p>
    <w:p w:rsidR="006D04C4" w:rsidRDefault="006D04C4" w:rsidP="006D04C4">
      <w:pPr>
        <w:pStyle w:val="Billedtekst"/>
        <w:keepNext/>
      </w:pPr>
      <w:r w:rsidRPr="006806EF">
        <w:rPr>
          <w:b/>
        </w:rPr>
        <w:t xml:space="preserve">Figur </w:t>
      </w:r>
      <w:r>
        <w:rPr>
          <w:b/>
        </w:rPr>
        <w:t>19</w:t>
      </w:r>
      <w:r>
        <w:t>. Prognose vs. faktisk befolkningstal.</w:t>
      </w:r>
    </w:p>
    <w:p w:rsidR="006D04C4" w:rsidRPr="00D30D29" w:rsidRDefault="00834623" w:rsidP="006D04C4">
      <w:pPr>
        <w:pStyle w:val="Normal1"/>
        <w:rPr>
          <w:highlight w:val="yellow"/>
          <w:lang w:eastAsia="en-US"/>
        </w:rPr>
      </w:pPr>
      <w:r>
        <w:rPr>
          <w:noProof/>
        </w:rPr>
        <w:drawing>
          <wp:inline distT="0" distB="0" distL="0" distR="0" wp14:anchorId="225E50FE" wp14:editId="24748149">
            <wp:extent cx="6120765" cy="2683510"/>
            <wp:effectExtent l="0" t="0" r="13335" b="2540"/>
            <wp:docPr id="15" name="Diagra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D04C4" w:rsidRPr="00D30D29" w:rsidRDefault="006D04C4" w:rsidP="006D04C4">
      <w:pPr>
        <w:pStyle w:val="Normal1"/>
        <w:rPr>
          <w:highlight w:val="yellow"/>
          <w:lang w:eastAsia="en-US"/>
        </w:rPr>
      </w:pPr>
    </w:p>
    <w:p w:rsidR="006D04C4" w:rsidRDefault="006D04C4" w:rsidP="006D04C4">
      <w:r w:rsidRPr="008444CA">
        <w:t>På andre parametre ser resultaterne mellem det faktiske resultat og prognosemodellen således ud</w:t>
      </w:r>
      <w:r w:rsidR="001A57FD">
        <w:t>, med udvalgte data fra 2016 til 2019</w:t>
      </w:r>
      <w:r w:rsidRPr="008444CA">
        <w:t>:</w:t>
      </w:r>
    </w:p>
    <w:p w:rsidR="001A57FD" w:rsidRDefault="001A57FD" w:rsidP="006D04C4"/>
    <w:p w:rsidR="001A57FD" w:rsidRDefault="001A57FD" w:rsidP="001A57FD">
      <w:pPr>
        <w:rPr>
          <w:rFonts w:ascii="Times New Roman" w:hAnsi="Times New Roman"/>
          <w:b/>
          <w:bCs/>
          <w:color w:val="000000"/>
          <w:sz w:val="20"/>
          <w:szCs w:val="20"/>
        </w:rPr>
      </w:pPr>
      <w:r w:rsidRPr="00BA30EC">
        <w:rPr>
          <w:rFonts w:ascii="Times New Roman" w:hAnsi="Times New Roman"/>
          <w:b/>
          <w:bCs/>
          <w:color w:val="000000"/>
          <w:sz w:val="20"/>
          <w:szCs w:val="20"/>
        </w:rPr>
        <w:t xml:space="preserve">Tabel 13, </w:t>
      </w:r>
      <w:r w:rsidRPr="001A57FD">
        <w:rPr>
          <w:rFonts w:ascii="Times New Roman" w:hAnsi="Times New Roman"/>
          <w:bCs/>
          <w:color w:val="000000"/>
          <w:sz w:val="20"/>
          <w:szCs w:val="20"/>
        </w:rPr>
        <w:t>sammenligning af udvalgte parametre</w:t>
      </w:r>
      <w:r w:rsidRPr="00BA30EC">
        <w:rPr>
          <w:rFonts w:ascii="Times New Roman" w:hAnsi="Times New Roman"/>
          <w:b/>
          <w:bCs/>
          <w:color w:val="000000"/>
          <w:sz w:val="20"/>
          <w:szCs w:val="20"/>
        </w:rPr>
        <w:t>.</w:t>
      </w:r>
    </w:p>
    <w:tbl>
      <w:tblPr>
        <w:tblW w:w="5000" w:type="pct"/>
        <w:tblCellMar>
          <w:left w:w="70" w:type="dxa"/>
          <w:right w:w="70" w:type="dxa"/>
        </w:tblCellMar>
        <w:tblLook w:val="04A0" w:firstRow="1" w:lastRow="0" w:firstColumn="1" w:lastColumn="0" w:noHBand="0" w:noVBand="1"/>
      </w:tblPr>
      <w:tblGrid>
        <w:gridCol w:w="1460"/>
        <w:gridCol w:w="795"/>
        <w:gridCol w:w="810"/>
        <w:gridCol w:w="794"/>
        <w:gridCol w:w="810"/>
        <w:gridCol w:w="794"/>
        <w:gridCol w:w="810"/>
        <w:gridCol w:w="794"/>
        <w:gridCol w:w="810"/>
        <w:gridCol w:w="1110"/>
        <w:gridCol w:w="652"/>
      </w:tblGrid>
      <w:tr w:rsidR="001A57FD" w:rsidRPr="001A57FD" w:rsidTr="006B22D3">
        <w:trPr>
          <w:trHeight w:val="900"/>
        </w:trPr>
        <w:tc>
          <w:tcPr>
            <w:tcW w:w="757" w:type="pct"/>
            <w:tcBorders>
              <w:top w:val="single" w:sz="4" w:space="0" w:color="auto"/>
              <w:left w:val="nil"/>
              <w:bottom w:val="single" w:sz="4" w:space="0" w:color="auto"/>
              <w:right w:val="nil"/>
            </w:tcBorders>
            <w:shd w:val="clear" w:color="auto" w:fill="auto"/>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 </w:t>
            </w:r>
          </w:p>
        </w:tc>
        <w:tc>
          <w:tcPr>
            <w:tcW w:w="412" w:type="pct"/>
            <w:tcBorders>
              <w:top w:val="single" w:sz="4" w:space="0" w:color="auto"/>
              <w:left w:val="nil"/>
              <w:bottom w:val="single" w:sz="4" w:space="0" w:color="auto"/>
              <w:right w:val="nil"/>
            </w:tcBorders>
            <w:shd w:val="clear" w:color="auto" w:fill="auto"/>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Faktisk 2016</w:t>
            </w:r>
          </w:p>
        </w:tc>
        <w:tc>
          <w:tcPr>
            <w:tcW w:w="420" w:type="pct"/>
            <w:tcBorders>
              <w:top w:val="single" w:sz="4" w:space="0" w:color="auto"/>
              <w:left w:val="nil"/>
              <w:bottom w:val="single" w:sz="4" w:space="0" w:color="auto"/>
              <w:right w:val="nil"/>
            </w:tcBorders>
            <w:shd w:val="clear" w:color="auto" w:fill="auto"/>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Prognose 2016</w:t>
            </w:r>
          </w:p>
        </w:tc>
        <w:tc>
          <w:tcPr>
            <w:tcW w:w="412" w:type="pct"/>
            <w:tcBorders>
              <w:top w:val="single" w:sz="4" w:space="0" w:color="auto"/>
              <w:left w:val="nil"/>
              <w:bottom w:val="single" w:sz="4" w:space="0" w:color="auto"/>
              <w:right w:val="nil"/>
            </w:tcBorders>
            <w:shd w:val="clear" w:color="000000" w:fill="FFFFFF"/>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Faktisk 2017</w:t>
            </w:r>
          </w:p>
        </w:tc>
        <w:tc>
          <w:tcPr>
            <w:tcW w:w="420" w:type="pct"/>
            <w:tcBorders>
              <w:top w:val="single" w:sz="4" w:space="0" w:color="auto"/>
              <w:left w:val="nil"/>
              <w:bottom w:val="single" w:sz="4" w:space="0" w:color="auto"/>
              <w:right w:val="nil"/>
            </w:tcBorders>
            <w:shd w:val="clear" w:color="000000" w:fill="FFFFFF"/>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Prognose 2017</w:t>
            </w:r>
          </w:p>
        </w:tc>
        <w:tc>
          <w:tcPr>
            <w:tcW w:w="412" w:type="pct"/>
            <w:tcBorders>
              <w:top w:val="single" w:sz="4" w:space="0" w:color="auto"/>
              <w:left w:val="nil"/>
              <w:bottom w:val="single" w:sz="4" w:space="0" w:color="auto"/>
              <w:right w:val="nil"/>
            </w:tcBorders>
            <w:shd w:val="clear" w:color="000000" w:fill="FFFFFF"/>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Faktisk 2018</w:t>
            </w:r>
          </w:p>
        </w:tc>
        <w:tc>
          <w:tcPr>
            <w:tcW w:w="420" w:type="pct"/>
            <w:tcBorders>
              <w:top w:val="single" w:sz="4" w:space="0" w:color="auto"/>
              <w:left w:val="nil"/>
              <w:bottom w:val="single" w:sz="4" w:space="0" w:color="auto"/>
              <w:right w:val="nil"/>
            </w:tcBorders>
            <w:shd w:val="clear" w:color="000000" w:fill="FFFFFF"/>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Prognose 2018</w:t>
            </w:r>
          </w:p>
        </w:tc>
        <w:tc>
          <w:tcPr>
            <w:tcW w:w="412" w:type="pct"/>
            <w:tcBorders>
              <w:top w:val="single" w:sz="4" w:space="0" w:color="auto"/>
              <w:left w:val="nil"/>
              <w:bottom w:val="single" w:sz="4" w:space="0" w:color="auto"/>
              <w:right w:val="nil"/>
            </w:tcBorders>
            <w:shd w:val="clear" w:color="auto" w:fill="D9D9D9" w:themeFill="background1" w:themeFillShade="D9"/>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Faktisk 2019</w:t>
            </w:r>
          </w:p>
        </w:tc>
        <w:tc>
          <w:tcPr>
            <w:tcW w:w="420" w:type="pct"/>
            <w:tcBorders>
              <w:top w:val="single" w:sz="4" w:space="0" w:color="auto"/>
              <w:left w:val="nil"/>
              <w:bottom w:val="single" w:sz="4" w:space="0" w:color="auto"/>
              <w:right w:val="nil"/>
            </w:tcBorders>
            <w:shd w:val="clear" w:color="auto" w:fill="D9D9D9" w:themeFill="background1" w:themeFillShade="D9"/>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Prognose 2019</w:t>
            </w:r>
          </w:p>
        </w:tc>
        <w:tc>
          <w:tcPr>
            <w:tcW w:w="576" w:type="pct"/>
            <w:tcBorders>
              <w:top w:val="single" w:sz="4" w:space="0" w:color="auto"/>
              <w:left w:val="single" w:sz="4" w:space="0" w:color="auto"/>
              <w:bottom w:val="single" w:sz="4" w:space="0" w:color="auto"/>
              <w:right w:val="nil"/>
            </w:tcBorders>
            <w:shd w:val="clear" w:color="000000" w:fill="FFFFFF"/>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Difference Faktisk 2019 - Prognose 2019</w:t>
            </w:r>
          </w:p>
        </w:tc>
        <w:tc>
          <w:tcPr>
            <w:tcW w:w="338" w:type="pct"/>
            <w:tcBorders>
              <w:top w:val="single" w:sz="4" w:space="0" w:color="auto"/>
              <w:left w:val="nil"/>
              <w:bottom w:val="single" w:sz="4" w:space="0" w:color="auto"/>
              <w:right w:val="nil"/>
            </w:tcBorders>
            <w:shd w:val="clear" w:color="000000" w:fill="FFFFFF"/>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i %</w:t>
            </w:r>
          </w:p>
        </w:tc>
      </w:tr>
      <w:tr w:rsidR="001A57FD" w:rsidRPr="001A57FD" w:rsidTr="006B22D3">
        <w:trPr>
          <w:trHeight w:val="300"/>
        </w:trPr>
        <w:tc>
          <w:tcPr>
            <w:tcW w:w="757" w:type="pct"/>
            <w:tcBorders>
              <w:top w:val="nil"/>
              <w:left w:val="nil"/>
              <w:bottom w:val="nil"/>
              <w:right w:val="nil"/>
            </w:tcBorders>
            <w:shd w:val="clear" w:color="000000" w:fill="FFFFFF"/>
            <w:noWrap/>
            <w:vAlign w:val="bottom"/>
            <w:hideMark/>
          </w:tcPr>
          <w:p w:rsidR="001A57FD" w:rsidRPr="001A57FD" w:rsidRDefault="001A57FD" w:rsidP="001A57FD">
            <w:pPr>
              <w:rPr>
                <w:rFonts w:ascii="Times New Roman" w:hAnsi="Times New Roman"/>
                <w:color w:val="000000"/>
                <w:sz w:val="18"/>
                <w:szCs w:val="18"/>
              </w:rPr>
            </w:pPr>
            <w:r w:rsidRPr="001A57FD">
              <w:rPr>
                <w:rFonts w:ascii="Times New Roman" w:hAnsi="Times New Roman"/>
                <w:color w:val="000000"/>
                <w:sz w:val="18"/>
                <w:szCs w:val="18"/>
              </w:rPr>
              <w:t>Mænd</w:t>
            </w:r>
          </w:p>
        </w:tc>
        <w:tc>
          <w:tcPr>
            <w:tcW w:w="412" w:type="pct"/>
            <w:tcBorders>
              <w:top w:val="nil"/>
              <w:left w:val="nil"/>
              <w:bottom w:val="nil"/>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17.404</w:t>
            </w:r>
          </w:p>
        </w:tc>
        <w:tc>
          <w:tcPr>
            <w:tcW w:w="420" w:type="pct"/>
            <w:tcBorders>
              <w:top w:val="nil"/>
              <w:left w:val="nil"/>
              <w:bottom w:val="nil"/>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17.469</w:t>
            </w:r>
          </w:p>
        </w:tc>
        <w:tc>
          <w:tcPr>
            <w:tcW w:w="412"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17.420</w:t>
            </w:r>
          </w:p>
        </w:tc>
        <w:tc>
          <w:tcPr>
            <w:tcW w:w="420"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17.587</w:t>
            </w:r>
          </w:p>
        </w:tc>
        <w:tc>
          <w:tcPr>
            <w:tcW w:w="412"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17.339</w:t>
            </w:r>
          </w:p>
        </w:tc>
        <w:tc>
          <w:tcPr>
            <w:tcW w:w="420"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17.471</w:t>
            </w:r>
          </w:p>
        </w:tc>
        <w:tc>
          <w:tcPr>
            <w:tcW w:w="412" w:type="pct"/>
            <w:tcBorders>
              <w:top w:val="nil"/>
              <w:left w:val="nil"/>
              <w:bottom w:val="nil"/>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17.222</w:t>
            </w:r>
          </w:p>
        </w:tc>
        <w:tc>
          <w:tcPr>
            <w:tcW w:w="420" w:type="pct"/>
            <w:tcBorders>
              <w:top w:val="nil"/>
              <w:left w:val="nil"/>
              <w:bottom w:val="nil"/>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17.299</w:t>
            </w:r>
          </w:p>
        </w:tc>
        <w:tc>
          <w:tcPr>
            <w:tcW w:w="576" w:type="pct"/>
            <w:tcBorders>
              <w:top w:val="nil"/>
              <w:left w:val="single" w:sz="4" w:space="0" w:color="auto"/>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-77</w:t>
            </w:r>
          </w:p>
        </w:tc>
        <w:tc>
          <w:tcPr>
            <w:tcW w:w="338" w:type="pct"/>
            <w:tcBorders>
              <w:top w:val="single" w:sz="4" w:space="0" w:color="auto"/>
              <w:left w:val="nil"/>
              <w:right w:val="nil"/>
            </w:tcBorders>
            <w:shd w:val="clear" w:color="000000" w:fill="FFFFFF"/>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-0,4%</w:t>
            </w:r>
          </w:p>
        </w:tc>
      </w:tr>
      <w:tr w:rsidR="001A57FD" w:rsidRPr="001A57FD" w:rsidTr="006B22D3">
        <w:trPr>
          <w:trHeight w:val="300"/>
        </w:trPr>
        <w:tc>
          <w:tcPr>
            <w:tcW w:w="757" w:type="pct"/>
            <w:tcBorders>
              <w:top w:val="nil"/>
              <w:left w:val="nil"/>
              <w:bottom w:val="nil"/>
              <w:right w:val="nil"/>
            </w:tcBorders>
            <w:shd w:val="clear" w:color="000000" w:fill="FFFFFF"/>
            <w:noWrap/>
            <w:vAlign w:val="bottom"/>
            <w:hideMark/>
          </w:tcPr>
          <w:p w:rsidR="001A57FD" w:rsidRPr="001A57FD" w:rsidRDefault="001A57FD" w:rsidP="001A57FD">
            <w:pPr>
              <w:rPr>
                <w:rFonts w:ascii="Times New Roman" w:hAnsi="Times New Roman"/>
                <w:color w:val="000000"/>
                <w:sz w:val="18"/>
                <w:szCs w:val="18"/>
              </w:rPr>
            </w:pPr>
            <w:r w:rsidRPr="001A57FD">
              <w:rPr>
                <w:rFonts w:ascii="Times New Roman" w:hAnsi="Times New Roman"/>
                <w:color w:val="000000"/>
                <w:sz w:val="18"/>
                <w:szCs w:val="18"/>
              </w:rPr>
              <w:t>Kvinder</w:t>
            </w:r>
          </w:p>
        </w:tc>
        <w:tc>
          <w:tcPr>
            <w:tcW w:w="412" w:type="pct"/>
            <w:tcBorders>
              <w:top w:val="nil"/>
              <w:left w:val="nil"/>
              <w:bottom w:val="nil"/>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18.197</w:t>
            </w:r>
          </w:p>
        </w:tc>
        <w:tc>
          <w:tcPr>
            <w:tcW w:w="420" w:type="pct"/>
            <w:tcBorders>
              <w:top w:val="nil"/>
              <w:left w:val="nil"/>
              <w:bottom w:val="nil"/>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18.122</w:t>
            </w:r>
          </w:p>
        </w:tc>
        <w:tc>
          <w:tcPr>
            <w:tcW w:w="412"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18.121</w:t>
            </w:r>
          </w:p>
        </w:tc>
        <w:tc>
          <w:tcPr>
            <w:tcW w:w="420"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18.372</w:t>
            </w:r>
          </w:p>
        </w:tc>
        <w:tc>
          <w:tcPr>
            <w:tcW w:w="412"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18.054</w:t>
            </w:r>
          </w:p>
        </w:tc>
        <w:tc>
          <w:tcPr>
            <w:tcW w:w="420"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18.176</w:t>
            </w:r>
          </w:p>
        </w:tc>
        <w:tc>
          <w:tcPr>
            <w:tcW w:w="412" w:type="pct"/>
            <w:tcBorders>
              <w:top w:val="nil"/>
              <w:left w:val="nil"/>
              <w:bottom w:val="nil"/>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17.872</w:t>
            </w:r>
          </w:p>
        </w:tc>
        <w:tc>
          <w:tcPr>
            <w:tcW w:w="420" w:type="pct"/>
            <w:tcBorders>
              <w:top w:val="nil"/>
              <w:left w:val="nil"/>
              <w:bottom w:val="nil"/>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18.010</w:t>
            </w:r>
          </w:p>
        </w:tc>
        <w:tc>
          <w:tcPr>
            <w:tcW w:w="576" w:type="pct"/>
            <w:tcBorders>
              <w:top w:val="nil"/>
              <w:left w:val="single" w:sz="4" w:space="0" w:color="auto"/>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-138</w:t>
            </w:r>
          </w:p>
        </w:tc>
        <w:tc>
          <w:tcPr>
            <w:tcW w:w="338" w:type="pct"/>
            <w:tcBorders>
              <w:left w:val="nil"/>
              <w:bottom w:val="nil"/>
              <w:right w:val="nil"/>
            </w:tcBorders>
            <w:shd w:val="clear" w:color="000000" w:fill="FFFFFF"/>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-0,8%</w:t>
            </w:r>
          </w:p>
        </w:tc>
      </w:tr>
      <w:tr w:rsidR="001A57FD" w:rsidRPr="001A57FD" w:rsidTr="006B22D3">
        <w:trPr>
          <w:trHeight w:val="300"/>
        </w:trPr>
        <w:tc>
          <w:tcPr>
            <w:tcW w:w="757" w:type="pct"/>
            <w:tcBorders>
              <w:top w:val="nil"/>
              <w:left w:val="nil"/>
              <w:bottom w:val="nil"/>
              <w:right w:val="nil"/>
            </w:tcBorders>
            <w:shd w:val="clear" w:color="000000" w:fill="FFFFFF"/>
            <w:noWrap/>
            <w:vAlign w:val="bottom"/>
            <w:hideMark/>
          </w:tcPr>
          <w:p w:rsidR="001A57FD" w:rsidRPr="001A57FD" w:rsidRDefault="001A57FD" w:rsidP="001A57FD">
            <w:pPr>
              <w:rPr>
                <w:rFonts w:ascii="Times New Roman" w:hAnsi="Times New Roman"/>
                <w:color w:val="000000"/>
                <w:sz w:val="18"/>
                <w:szCs w:val="18"/>
              </w:rPr>
            </w:pPr>
            <w:r w:rsidRPr="001A57FD">
              <w:rPr>
                <w:rFonts w:ascii="Times New Roman" w:hAnsi="Times New Roman"/>
                <w:color w:val="000000"/>
                <w:sz w:val="18"/>
                <w:szCs w:val="18"/>
              </w:rPr>
              <w:lastRenderedPageBreak/>
              <w:t xml:space="preserve">Fødte </w:t>
            </w:r>
          </w:p>
        </w:tc>
        <w:tc>
          <w:tcPr>
            <w:tcW w:w="412" w:type="pct"/>
            <w:tcBorders>
              <w:top w:val="nil"/>
              <w:left w:val="nil"/>
              <w:bottom w:val="nil"/>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423</w:t>
            </w:r>
          </w:p>
        </w:tc>
        <w:tc>
          <w:tcPr>
            <w:tcW w:w="420" w:type="pct"/>
            <w:tcBorders>
              <w:top w:val="nil"/>
              <w:left w:val="nil"/>
              <w:bottom w:val="nil"/>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398</w:t>
            </w:r>
          </w:p>
        </w:tc>
        <w:tc>
          <w:tcPr>
            <w:tcW w:w="412"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388</w:t>
            </w:r>
          </w:p>
        </w:tc>
        <w:tc>
          <w:tcPr>
            <w:tcW w:w="420"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423</w:t>
            </w:r>
          </w:p>
        </w:tc>
        <w:tc>
          <w:tcPr>
            <w:tcW w:w="412"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410</w:t>
            </w:r>
          </w:p>
        </w:tc>
        <w:tc>
          <w:tcPr>
            <w:tcW w:w="420"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415</w:t>
            </w:r>
          </w:p>
        </w:tc>
        <w:tc>
          <w:tcPr>
            <w:tcW w:w="412" w:type="pct"/>
            <w:tcBorders>
              <w:top w:val="nil"/>
              <w:left w:val="nil"/>
              <w:bottom w:val="nil"/>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396</w:t>
            </w:r>
          </w:p>
        </w:tc>
        <w:tc>
          <w:tcPr>
            <w:tcW w:w="420" w:type="pct"/>
            <w:tcBorders>
              <w:top w:val="nil"/>
              <w:left w:val="nil"/>
              <w:bottom w:val="nil"/>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406</w:t>
            </w:r>
          </w:p>
        </w:tc>
        <w:tc>
          <w:tcPr>
            <w:tcW w:w="576" w:type="pct"/>
            <w:tcBorders>
              <w:top w:val="nil"/>
              <w:left w:val="single" w:sz="4" w:space="0" w:color="auto"/>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-10</w:t>
            </w:r>
          </w:p>
        </w:tc>
        <w:tc>
          <w:tcPr>
            <w:tcW w:w="338" w:type="pct"/>
            <w:tcBorders>
              <w:top w:val="nil"/>
              <w:left w:val="nil"/>
              <w:bottom w:val="nil"/>
              <w:right w:val="nil"/>
            </w:tcBorders>
            <w:shd w:val="clear" w:color="000000" w:fill="FFFFFF"/>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-2,4%</w:t>
            </w:r>
          </w:p>
        </w:tc>
      </w:tr>
      <w:tr w:rsidR="001A57FD" w:rsidRPr="001A57FD" w:rsidTr="006B22D3">
        <w:trPr>
          <w:trHeight w:val="300"/>
        </w:trPr>
        <w:tc>
          <w:tcPr>
            <w:tcW w:w="757" w:type="pct"/>
            <w:tcBorders>
              <w:top w:val="nil"/>
              <w:left w:val="nil"/>
              <w:bottom w:val="nil"/>
              <w:right w:val="nil"/>
            </w:tcBorders>
            <w:shd w:val="clear" w:color="000000" w:fill="FFFFFF"/>
            <w:noWrap/>
            <w:vAlign w:val="bottom"/>
            <w:hideMark/>
          </w:tcPr>
          <w:p w:rsidR="001A57FD" w:rsidRPr="001A57FD" w:rsidRDefault="001A57FD" w:rsidP="001A57FD">
            <w:pPr>
              <w:rPr>
                <w:rFonts w:ascii="Times New Roman" w:hAnsi="Times New Roman"/>
                <w:color w:val="000000"/>
                <w:sz w:val="18"/>
                <w:szCs w:val="18"/>
              </w:rPr>
            </w:pPr>
            <w:r w:rsidRPr="001A57FD">
              <w:rPr>
                <w:rFonts w:ascii="Times New Roman" w:hAnsi="Times New Roman"/>
                <w:color w:val="000000"/>
                <w:sz w:val="18"/>
                <w:szCs w:val="18"/>
              </w:rPr>
              <w:t>Flyttebalance</w:t>
            </w:r>
          </w:p>
        </w:tc>
        <w:tc>
          <w:tcPr>
            <w:tcW w:w="412" w:type="pct"/>
            <w:tcBorders>
              <w:top w:val="nil"/>
              <w:left w:val="nil"/>
              <w:bottom w:val="nil"/>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238</w:t>
            </w:r>
          </w:p>
        </w:tc>
        <w:tc>
          <w:tcPr>
            <w:tcW w:w="420" w:type="pct"/>
            <w:tcBorders>
              <w:top w:val="nil"/>
              <w:left w:val="nil"/>
              <w:bottom w:val="nil"/>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218</w:t>
            </w:r>
          </w:p>
        </w:tc>
        <w:tc>
          <w:tcPr>
            <w:tcW w:w="412"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3</w:t>
            </w:r>
          </w:p>
        </w:tc>
        <w:tc>
          <w:tcPr>
            <w:tcW w:w="420"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298</w:t>
            </w:r>
          </w:p>
        </w:tc>
        <w:tc>
          <w:tcPr>
            <w:tcW w:w="412"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-192</w:t>
            </w:r>
          </w:p>
        </w:tc>
        <w:tc>
          <w:tcPr>
            <w:tcW w:w="420" w:type="pct"/>
            <w:tcBorders>
              <w:top w:val="nil"/>
              <w:left w:val="nil"/>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57</w:t>
            </w:r>
          </w:p>
        </w:tc>
        <w:tc>
          <w:tcPr>
            <w:tcW w:w="412" w:type="pct"/>
            <w:tcBorders>
              <w:top w:val="nil"/>
              <w:left w:val="nil"/>
              <w:bottom w:val="nil"/>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-297</w:t>
            </w:r>
          </w:p>
        </w:tc>
        <w:tc>
          <w:tcPr>
            <w:tcW w:w="420" w:type="pct"/>
            <w:tcBorders>
              <w:top w:val="nil"/>
              <w:left w:val="nil"/>
              <w:bottom w:val="nil"/>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-125</w:t>
            </w:r>
          </w:p>
        </w:tc>
        <w:tc>
          <w:tcPr>
            <w:tcW w:w="576" w:type="pct"/>
            <w:tcBorders>
              <w:top w:val="nil"/>
              <w:left w:val="single" w:sz="4" w:space="0" w:color="auto"/>
              <w:bottom w:val="nil"/>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-172</w:t>
            </w:r>
          </w:p>
        </w:tc>
        <w:tc>
          <w:tcPr>
            <w:tcW w:w="338" w:type="pct"/>
            <w:tcBorders>
              <w:top w:val="nil"/>
              <w:left w:val="nil"/>
              <w:bottom w:val="nil"/>
              <w:right w:val="nil"/>
            </w:tcBorders>
            <w:shd w:val="clear" w:color="000000" w:fill="FFFFFF"/>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89,6%</w:t>
            </w:r>
          </w:p>
        </w:tc>
      </w:tr>
      <w:tr w:rsidR="001A57FD" w:rsidRPr="001A57FD" w:rsidTr="006B22D3">
        <w:trPr>
          <w:trHeight w:val="300"/>
        </w:trPr>
        <w:tc>
          <w:tcPr>
            <w:tcW w:w="757" w:type="pct"/>
            <w:tcBorders>
              <w:top w:val="nil"/>
              <w:left w:val="nil"/>
              <w:bottom w:val="single" w:sz="4" w:space="0" w:color="auto"/>
              <w:right w:val="nil"/>
            </w:tcBorders>
            <w:shd w:val="clear" w:color="000000" w:fill="FFFFFF"/>
            <w:noWrap/>
            <w:vAlign w:val="bottom"/>
            <w:hideMark/>
          </w:tcPr>
          <w:p w:rsidR="001A57FD" w:rsidRPr="001A57FD" w:rsidRDefault="001A57FD" w:rsidP="001A57FD">
            <w:pPr>
              <w:rPr>
                <w:rFonts w:ascii="Times New Roman" w:hAnsi="Times New Roman"/>
                <w:color w:val="000000"/>
                <w:sz w:val="18"/>
                <w:szCs w:val="18"/>
              </w:rPr>
            </w:pPr>
            <w:r w:rsidRPr="001A57FD">
              <w:rPr>
                <w:rFonts w:ascii="Times New Roman" w:hAnsi="Times New Roman"/>
                <w:color w:val="000000"/>
                <w:sz w:val="18"/>
                <w:szCs w:val="18"/>
              </w:rPr>
              <w:t>Folketal</w:t>
            </w:r>
          </w:p>
        </w:tc>
        <w:tc>
          <w:tcPr>
            <w:tcW w:w="412" w:type="pct"/>
            <w:tcBorders>
              <w:top w:val="nil"/>
              <w:left w:val="nil"/>
              <w:bottom w:val="single" w:sz="4" w:space="0" w:color="auto"/>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35.601</w:t>
            </w:r>
          </w:p>
        </w:tc>
        <w:tc>
          <w:tcPr>
            <w:tcW w:w="420" w:type="pct"/>
            <w:tcBorders>
              <w:top w:val="nil"/>
              <w:left w:val="nil"/>
              <w:bottom w:val="single" w:sz="4" w:space="0" w:color="auto"/>
              <w:right w:val="nil"/>
            </w:tcBorders>
            <w:shd w:val="clear" w:color="auto" w:fill="auto"/>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35.591</w:t>
            </w:r>
          </w:p>
        </w:tc>
        <w:tc>
          <w:tcPr>
            <w:tcW w:w="412" w:type="pct"/>
            <w:tcBorders>
              <w:top w:val="nil"/>
              <w:left w:val="nil"/>
              <w:bottom w:val="single" w:sz="4" w:space="0" w:color="auto"/>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35.541</w:t>
            </w:r>
          </w:p>
        </w:tc>
        <w:tc>
          <w:tcPr>
            <w:tcW w:w="420" w:type="pct"/>
            <w:tcBorders>
              <w:top w:val="nil"/>
              <w:left w:val="nil"/>
              <w:bottom w:val="single" w:sz="4" w:space="0" w:color="auto"/>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35.959</w:t>
            </w:r>
          </w:p>
        </w:tc>
        <w:tc>
          <w:tcPr>
            <w:tcW w:w="412" w:type="pct"/>
            <w:tcBorders>
              <w:top w:val="nil"/>
              <w:left w:val="nil"/>
              <w:bottom w:val="single" w:sz="4" w:space="0" w:color="auto"/>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35.393</w:t>
            </w:r>
          </w:p>
        </w:tc>
        <w:tc>
          <w:tcPr>
            <w:tcW w:w="420" w:type="pct"/>
            <w:tcBorders>
              <w:top w:val="nil"/>
              <w:left w:val="nil"/>
              <w:bottom w:val="single" w:sz="4" w:space="0" w:color="auto"/>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35.646</w:t>
            </w:r>
          </w:p>
        </w:tc>
        <w:tc>
          <w:tcPr>
            <w:tcW w:w="412" w:type="pct"/>
            <w:tcBorders>
              <w:top w:val="nil"/>
              <w:left w:val="nil"/>
              <w:bottom w:val="single" w:sz="4" w:space="0" w:color="auto"/>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35.094</w:t>
            </w:r>
          </w:p>
        </w:tc>
        <w:tc>
          <w:tcPr>
            <w:tcW w:w="420" w:type="pct"/>
            <w:tcBorders>
              <w:top w:val="nil"/>
              <w:left w:val="nil"/>
              <w:bottom w:val="single" w:sz="4" w:space="0" w:color="auto"/>
              <w:right w:val="nil"/>
            </w:tcBorders>
            <w:shd w:val="clear" w:color="auto" w:fill="D9D9D9" w:themeFill="background1" w:themeFillShade="D9"/>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35.309</w:t>
            </w:r>
          </w:p>
        </w:tc>
        <w:tc>
          <w:tcPr>
            <w:tcW w:w="576" w:type="pct"/>
            <w:tcBorders>
              <w:top w:val="nil"/>
              <w:left w:val="single" w:sz="4" w:space="0" w:color="auto"/>
              <w:bottom w:val="single" w:sz="4" w:space="0" w:color="auto"/>
              <w:right w:val="nil"/>
            </w:tcBorders>
            <w:shd w:val="clear" w:color="000000" w:fill="FFFFFF"/>
            <w:noWrap/>
            <w:vAlign w:val="bottom"/>
            <w:hideMark/>
          </w:tcPr>
          <w:p w:rsidR="001A57FD" w:rsidRPr="001A57FD" w:rsidRDefault="001A57FD" w:rsidP="001A57FD">
            <w:pPr>
              <w:jc w:val="center"/>
              <w:rPr>
                <w:rFonts w:ascii="Times New Roman" w:hAnsi="Times New Roman"/>
                <w:color w:val="000000"/>
                <w:sz w:val="18"/>
                <w:szCs w:val="18"/>
              </w:rPr>
            </w:pPr>
            <w:r w:rsidRPr="001A57FD">
              <w:rPr>
                <w:rFonts w:ascii="Times New Roman" w:hAnsi="Times New Roman"/>
                <w:color w:val="000000"/>
                <w:sz w:val="18"/>
                <w:szCs w:val="18"/>
              </w:rPr>
              <w:t>-215</w:t>
            </w:r>
          </w:p>
        </w:tc>
        <w:tc>
          <w:tcPr>
            <w:tcW w:w="338" w:type="pct"/>
            <w:tcBorders>
              <w:top w:val="nil"/>
              <w:left w:val="nil"/>
              <w:bottom w:val="single" w:sz="4" w:space="0" w:color="auto"/>
              <w:right w:val="nil"/>
            </w:tcBorders>
            <w:shd w:val="clear" w:color="000000" w:fill="FFFFFF"/>
            <w:noWrap/>
            <w:vAlign w:val="bottom"/>
            <w:hideMark/>
          </w:tcPr>
          <w:p w:rsidR="001A57FD" w:rsidRPr="001A57FD" w:rsidRDefault="001A57FD" w:rsidP="001A57FD">
            <w:pPr>
              <w:jc w:val="right"/>
              <w:rPr>
                <w:rFonts w:ascii="Times New Roman" w:hAnsi="Times New Roman"/>
                <w:color w:val="000000"/>
                <w:sz w:val="18"/>
                <w:szCs w:val="18"/>
              </w:rPr>
            </w:pPr>
            <w:r w:rsidRPr="001A57FD">
              <w:rPr>
                <w:rFonts w:ascii="Times New Roman" w:hAnsi="Times New Roman"/>
                <w:color w:val="000000"/>
                <w:sz w:val="18"/>
                <w:szCs w:val="18"/>
              </w:rPr>
              <w:t>-0,6%</w:t>
            </w:r>
          </w:p>
        </w:tc>
      </w:tr>
    </w:tbl>
    <w:p w:rsidR="006D04C4" w:rsidRPr="009709E9" w:rsidRDefault="006D04C4" w:rsidP="006D04C4">
      <w:pPr>
        <w:pStyle w:val="Billedtekst"/>
        <w:keepNext/>
        <w:rPr>
          <w:rFonts w:ascii="Times New Roman" w:hAnsi="Times New Roman"/>
        </w:rPr>
      </w:pPr>
    </w:p>
    <w:p w:rsidR="006D04C4" w:rsidRDefault="006D04C4" w:rsidP="006D04C4">
      <w:pPr>
        <w:rPr>
          <w:highlight w:val="yellow"/>
        </w:rPr>
      </w:pPr>
    </w:p>
    <w:p w:rsidR="006D04C4" w:rsidRDefault="006D04C4" w:rsidP="006D04C4">
      <w:r w:rsidRPr="008444CA">
        <w:t xml:space="preserve">Overordnet set er udsvingene mellem prognose og de faktiske tal på et rimeligt niveau. </w:t>
      </w:r>
    </w:p>
    <w:p w:rsidR="006D04C4" w:rsidRDefault="006D04C4" w:rsidP="006D04C4"/>
    <w:p w:rsidR="008E4BE3" w:rsidRDefault="007F27E5" w:rsidP="006D04C4">
      <w:r>
        <w:t>Resultatet for 2019 blev altså et fejlskøn på 215</w:t>
      </w:r>
      <w:r w:rsidR="006D04C4">
        <w:t xml:space="preserve"> personer i forhold til det faktiske</w:t>
      </w:r>
      <w:r w:rsidR="008B092D">
        <w:t xml:space="preserve"> tal</w:t>
      </w:r>
      <w:r w:rsidR="006D04C4">
        <w:t>,</w:t>
      </w:r>
      <w:r w:rsidR="003B3125">
        <w:t xml:space="preserve"> </w:t>
      </w:r>
      <w:r>
        <w:t>idet det reelle fald blev på 299</w:t>
      </w:r>
      <w:r w:rsidR="006D04C4">
        <w:t xml:space="preserve"> personer</w:t>
      </w:r>
      <w:r w:rsidR="003B3125">
        <w:t>. I forhold til prognosen var der forventet en aftagende vækst</w:t>
      </w:r>
      <w:r w:rsidR="006D04C4">
        <w:t xml:space="preserve"> </w:t>
      </w:r>
      <w:r w:rsidR="008E4BE3">
        <w:t>med et</w:t>
      </w:r>
      <w:r>
        <w:t xml:space="preserve"> forventet et fald på 84</w:t>
      </w:r>
      <w:r w:rsidR="003B3125">
        <w:t xml:space="preserve"> personer</w:t>
      </w:r>
      <w:r w:rsidR="006D04C4">
        <w:t>.</w:t>
      </w:r>
      <w:r w:rsidR="006D04C4" w:rsidRPr="00A7254A">
        <w:t xml:space="preserve"> </w:t>
      </w:r>
      <w:r w:rsidR="008B092D">
        <w:t>Det viste sig at prognosen var mere optimistisk end den faktiske udvikling selvom prognosen altså forventede en negativ vækst i 2019. Med udgangen af 2020 forventes kommunen at have 35.299 indbyggere.</w:t>
      </w:r>
    </w:p>
    <w:p w:rsidR="008E4BE3" w:rsidRDefault="008E4BE3" w:rsidP="006D04C4"/>
    <w:p w:rsidR="006D04C4" w:rsidRPr="008444CA" w:rsidRDefault="006D04C4" w:rsidP="006D04C4">
      <w:r w:rsidRPr="008444CA">
        <w:t>Usikkerheden er også betinget af årgangenes størrelse og bevægelserne heri. Sker der en forøgelse i årgangene, øges sikkerheden tilsvarende. Typisk er usikkerheden størst på de meget små årgange og de ældste årgange. Denne tendens ser ud til at være i tråd med udviklingen i Brøndby Kommune.</w:t>
      </w:r>
    </w:p>
    <w:p w:rsidR="006D04C4" w:rsidRPr="008444CA" w:rsidRDefault="006D04C4" w:rsidP="006D04C4"/>
    <w:p w:rsidR="002406E1" w:rsidRPr="002406E1" w:rsidRDefault="002406E1" w:rsidP="002406E1">
      <w:pPr>
        <w:rPr>
          <w:rFonts w:ascii="Times New Roman" w:hAnsi="Times New Roman"/>
          <w:sz w:val="20"/>
          <w:szCs w:val="20"/>
        </w:rPr>
      </w:pPr>
    </w:p>
    <w:p w:rsidR="006D04C4" w:rsidRPr="00D30D29" w:rsidRDefault="006D04C4" w:rsidP="006D04C4">
      <w:pPr>
        <w:pStyle w:val="Overskrift1"/>
        <w:rPr>
          <w:highlight w:val="yellow"/>
        </w:rPr>
      </w:pPr>
    </w:p>
    <w:sectPr w:rsidR="006D04C4" w:rsidRPr="00D30D29" w:rsidSect="00764F69">
      <w:headerReference w:type="default" r:id="rId16"/>
      <w:footerReference w:type="default" r:id="rId17"/>
      <w:endnotePr>
        <w:numFmt w:val="decimal"/>
      </w:endnotePr>
      <w:pgSz w:w="11900" w:h="16840"/>
      <w:pgMar w:top="153" w:right="1127" w:bottom="1440" w:left="1134" w:header="345" w:footer="23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9E8" w:rsidRDefault="00D659E8" w:rsidP="0094707F">
      <w:r>
        <w:separator/>
      </w:r>
    </w:p>
  </w:endnote>
  <w:endnote w:type="continuationSeparator" w:id="0">
    <w:p w:rsidR="00D659E8" w:rsidRDefault="00D659E8" w:rsidP="00947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207637"/>
      <w:docPartObj>
        <w:docPartGallery w:val="Page Numbers (Bottom of Page)"/>
        <w:docPartUnique/>
      </w:docPartObj>
    </w:sdtPr>
    <w:sdtEndPr/>
    <w:sdtContent>
      <w:p w:rsidR="002A4ACD" w:rsidRDefault="002A4ACD">
        <w:pPr>
          <w:pStyle w:val="Sidefod"/>
          <w:jc w:val="right"/>
        </w:pPr>
        <w:r>
          <w:fldChar w:fldCharType="begin"/>
        </w:r>
        <w:r>
          <w:instrText>PAGE   \* MERGEFORMAT</w:instrText>
        </w:r>
        <w:r>
          <w:fldChar w:fldCharType="separate"/>
        </w:r>
        <w:r w:rsidR="008E5F6A">
          <w:rPr>
            <w:noProof/>
          </w:rPr>
          <w:t>2</w:t>
        </w:r>
        <w:r>
          <w:fldChar w:fldCharType="end"/>
        </w:r>
      </w:p>
    </w:sdtContent>
  </w:sdt>
  <w:p w:rsidR="002A4ACD" w:rsidRDefault="002A4AC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9E8" w:rsidRDefault="00D659E8" w:rsidP="0094707F">
      <w:r>
        <w:separator/>
      </w:r>
    </w:p>
  </w:footnote>
  <w:footnote w:type="continuationSeparator" w:id="0">
    <w:p w:rsidR="00D659E8" w:rsidRDefault="00D659E8" w:rsidP="0094707F">
      <w:r>
        <w:continuationSeparator/>
      </w:r>
    </w:p>
  </w:footnote>
  <w:footnote w:id="1">
    <w:p w:rsidR="002A4ACD" w:rsidRDefault="002A4ACD" w:rsidP="006D04C4">
      <w:pPr>
        <w:pStyle w:val="Fodnotetekst"/>
      </w:pPr>
      <w:r>
        <w:rPr>
          <w:rStyle w:val="Fodnotehenvisning"/>
        </w:rPr>
        <w:footnoteRef/>
      </w:r>
      <w:r w:rsidRPr="006806EF">
        <w:rPr>
          <w:sz w:val="20"/>
        </w:rPr>
        <w:t>Danmarks Statistik udgiver først sin 2018-prognose i maj 2018, dvs. efter afslutningen af redaktionen af denne rapport.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ACD" w:rsidRPr="000C5520" w:rsidRDefault="002A4ACD" w:rsidP="00507965">
    <w:pPr>
      <w:pStyle w:val="Sidehoved"/>
      <w:jc w:val="right"/>
      <w:rPr>
        <w:rFonts w:ascii="Arial" w:hAnsi="Arial" w:cs="Arial"/>
        <w:sz w:val="16"/>
        <w:szCs w:val="16"/>
      </w:rPr>
    </w:pPr>
    <w:r w:rsidRPr="000C5520">
      <w:rPr>
        <w:rFonts w:ascii="Arial" w:hAnsi="Arial" w:cs="Arial"/>
        <w:sz w:val="16"/>
        <w:szCs w:val="16"/>
      </w:rPr>
      <w:t>Økonomi- og Ressourceforvaltningen</w:t>
    </w:r>
  </w:p>
  <w:p w:rsidR="002A4ACD" w:rsidRPr="000C5520" w:rsidRDefault="002A4ACD" w:rsidP="00507965">
    <w:pPr>
      <w:pStyle w:val="Sidehoved"/>
      <w:jc w:val="right"/>
      <w:rPr>
        <w:rFonts w:ascii="Arial" w:hAnsi="Arial" w:cs="Arial"/>
        <w:sz w:val="16"/>
        <w:szCs w:val="16"/>
      </w:rPr>
    </w:pPr>
    <w:r w:rsidRPr="000C5520">
      <w:rPr>
        <w:rFonts w:ascii="Arial" w:hAnsi="Arial" w:cs="Arial"/>
        <w:sz w:val="16"/>
        <w:szCs w:val="16"/>
      </w:rPr>
      <w:t>Befolkningsprognose for Brøndby Kommune 2020-2030</w:t>
    </w:r>
  </w:p>
  <w:p w:rsidR="002A4ACD" w:rsidRDefault="002A4AC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0C0B"/>
    <w:multiLevelType w:val="hybridMultilevel"/>
    <w:tmpl w:val="6B3C56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102614C"/>
    <w:multiLevelType w:val="hybridMultilevel"/>
    <w:tmpl w:val="B73636B6"/>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2F80AFD"/>
    <w:multiLevelType w:val="hybridMultilevel"/>
    <w:tmpl w:val="DD1C3C88"/>
    <w:lvl w:ilvl="0" w:tplc="D12E5712">
      <w:start w:val="67"/>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741DAA"/>
    <w:multiLevelType w:val="hybridMultilevel"/>
    <w:tmpl w:val="658C41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569EB"/>
    <w:multiLevelType w:val="hybridMultilevel"/>
    <w:tmpl w:val="A5AAF7AA"/>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BB01FBA"/>
    <w:multiLevelType w:val="hybridMultilevel"/>
    <w:tmpl w:val="9DC4F440"/>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C2478CC"/>
    <w:multiLevelType w:val="hybridMultilevel"/>
    <w:tmpl w:val="ECC24CFA"/>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C07FA"/>
    <w:multiLevelType w:val="hybridMultilevel"/>
    <w:tmpl w:val="87A2E7C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5C0133"/>
    <w:multiLevelType w:val="hybridMultilevel"/>
    <w:tmpl w:val="7092F020"/>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1674F70"/>
    <w:multiLevelType w:val="hybridMultilevel"/>
    <w:tmpl w:val="9CB8C3D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0250D1"/>
    <w:multiLevelType w:val="hybridMultilevel"/>
    <w:tmpl w:val="4A6A37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E84935"/>
    <w:multiLevelType w:val="hybridMultilevel"/>
    <w:tmpl w:val="7ADA7696"/>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6951617"/>
    <w:multiLevelType w:val="hybridMultilevel"/>
    <w:tmpl w:val="460A598C"/>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6741A0"/>
    <w:multiLevelType w:val="hybridMultilevel"/>
    <w:tmpl w:val="ACA2764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D649ED"/>
    <w:multiLevelType w:val="hybridMultilevel"/>
    <w:tmpl w:val="7C0A1B6A"/>
    <w:lvl w:ilvl="0" w:tplc="9746EE40">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1FF543F8"/>
    <w:multiLevelType w:val="hybridMultilevel"/>
    <w:tmpl w:val="438A9530"/>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BC535C"/>
    <w:multiLevelType w:val="hybridMultilevel"/>
    <w:tmpl w:val="7D662FBC"/>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3E2F92"/>
    <w:multiLevelType w:val="multilevel"/>
    <w:tmpl w:val="A614DF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556969"/>
    <w:multiLevelType w:val="hybridMultilevel"/>
    <w:tmpl w:val="7B82879E"/>
    <w:lvl w:ilvl="0" w:tplc="0C243F80">
      <w:start w:val="26"/>
      <w:numFmt w:val="bullet"/>
      <w:lvlText w:val="-"/>
      <w:lvlJc w:val="left"/>
      <w:pPr>
        <w:tabs>
          <w:tab w:val="num" w:pos="720"/>
        </w:tabs>
        <w:ind w:left="72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EE3673"/>
    <w:multiLevelType w:val="hybridMultilevel"/>
    <w:tmpl w:val="236A006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54665F"/>
    <w:multiLevelType w:val="hybridMultilevel"/>
    <w:tmpl w:val="4154894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A56B2F"/>
    <w:multiLevelType w:val="hybridMultilevel"/>
    <w:tmpl w:val="7ED40068"/>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DFA0E0E"/>
    <w:multiLevelType w:val="hybridMultilevel"/>
    <w:tmpl w:val="D0A286F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8D5BDD"/>
    <w:multiLevelType w:val="hybridMultilevel"/>
    <w:tmpl w:val="DE6A4C68"/>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39D44FA"/>
    <w:multiLevelType w:val="multilevel"/>
    <w:tmpl w:val="29A63A0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59283A"/>
    <w:multiLevelType w:val="multilevel"/>
    <w:tmpl w:val="3134ECC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F364B75"/>
    <w:multiLevelType w:val="multilevel"/>
    <w:tmpl w:val="7B82879E"/>
    <w:lvl w:ilvl="0">
      <w:start w:val="26"/>
      <w:numFmt w:val="bullet"/>
      <w:lvlText w:val="-"/>
      <w:lvlJc w:val="left"/>
      <w:pPr>
        <w:tabs>
          <w:tab w:val="num" w:pos="720"/>
        </w:tabs>
        <w:ind w:left="720" w:hanging="360"/>
      </w:pPr>
      <w:rPr>
        <w:rFonts w:ascii="Arial" w:eastAsia="GillSans"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BE50E8"/>
    <w:multiLevelType w:val="hybridMultilevel"/>
    <w:tmpl w:val="13DE6D12"/>
    <w:lvl w:ilvl="0" w:tplc="D12E5712">
      <w:start w:val="67"/>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805241B"/>
    <w:multiLevelType w:val="hybridMultilevel"/>
    <w:tmpl w:val="90B619D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B206D9"/>
    <w:multiLevelType w:val="multilevel"/>
    <w:tmpl w:val="DBFE1AD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04240D3"/>
    <w:multiLevelType w:val="hybridMultilevel"/>
    <w:tmpl w:val="37DC5F76"/>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2C31BB"/>
    <w:multiLevelType w:val="hybridMultilevel"/>
    <w:tmpl w:val="06B841B0"/>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23D2FC2"/>
    <w:multiLevelType w:val="hybridMultilevel"/>
    <w:tmpl w:val="B5F06EE4"/>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1233A3"/>
    <w:multiLevelType w:val="hybridMultilevel"/>
    <w:tmpl w:val="1F7C3DB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2A350C"/>
    <w:multiLevelType w:val="hybridMultilevel"/>
    <w:tmpl w:val="8FDEBAC4"/>
    <w:lvl w:ilvl="0" w:tplc="0C243F80">
      <w:start w:val="26"/>
      <w:numFmt w:val="bullet"/>
      <w:lvlText w:val="-"/>
      <w:lvlJc w:val="left"/>
      <w:pPr>
        <w:tabs>
          <w:tab w:val="num" w:pos="930"/>
        </w:tabs>
        <w:ind w:left="930" w:hanging="360"/>
      </w:pPr>
      <w:rPr>
        <w:rFonts w:ascii="Arial" w:eastAsia="GillSans" w:hAnsi="Arial"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534C95"/>
    <w:multiLevelType w:val="multilevel"/>
    <w:tmpl w:val="226A7F52"/>
    <w:lvl w:ilvl="0">
      <w:start w:val="1"/>
      <w:numFmt w:val="decimal"/>
      <w:lvlText w:val="%1"/>
      <w:lvlJc w:val="left"/>
      <w:pPr>
        <w:tabs>
          <w:tab w:val="num" w:pos="432"/>
        </w:tabs>
        <w:ind w:left="432" w:hanging="432"/>
      </w:pPr>
      <w:rPr>
        <w:color w:val="365F91" w:themeColor="accent1" w:themeShade="BF"/>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B8827DE"/>
    <w:multiLevelType w:val="hybridMultilevel"/>
    <w:tmpl w:val="361AC9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5DD8031E"/>
    <w:multiLevelType w:val="hybridMultilevel"/>
    <w:tmpl w:val="A290DDD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F770F7"/>
    <w:multiLevelType w:val="hybridMultilevel"/>
    <w:tmpl w:val="973C6F6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B734E6"/>
    <w:multiLevelType w:val="multilevel"/>
    <w:tmpl w:val="7D662F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C9383D"/>
    <w:multiLevelType w:val="multilevel"/>
    <w:tmpl w:val="6BFE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BB65D7"/>
    <w:multiLevelType w:val="hybridMultilevel"/>
    <w:tmpl w:val="6BD081AA"/>
    <w:lvl w:ilvl="0" w:tplc="9746EE40">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42" w15:restartNumberingAfterBreak="0">
    <w:nsid w:val="6FDD4E44"/>
    <w:multiLevelType w:val="hybridMultilevel"/>
    <w:tmpl w:val="74B4A2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23D60D0"/>
    <w:multiLevelType w:val="hybridMultilevel"/>
    <w:tmpl w:val="A3FCAA8C"/>
    <w:lvl w:ilvl="0" w:tplc="9746EE4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40E1E61"/>
    <w:multiLevelType w:val="hybridMultilevel"/>
    <w:tmpl w:val="2F14721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4368AE"/>
    <w:multiLevelType w:val="multilevel"/>
    <w:tmpl w:val="460A59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A552F7"/>
    <w:multiLevelType w:val="multilevel"/>
    <w:tmpl w:val="29A63A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E97BAC"/>
    <w:multiLevelType w:val="hybridMultilevel"/>
    <w:tmpl w:val="A614DF2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F966A8"/>
    <w:multiLevelType w:val="hybridMultilevel"/>
    <w:tmpl w:val="2DD6B82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46"/>
  </w:num>
  <w:num w:numId="3">
    <w:abstractNumId w:val="24"/>
  </w:num>
  <w:num w:numId="4">
    <w:abstractNumId w:val="7"/>
  </w:num>
  <w:num w:numId="5">
    <w:abstractNumId w:val="35"/>
  </w:num>
  <w:num w:numId="6">
    <w:abstractNumId w:val="48"/>
  </w:num>
  <w:num w:numId="7">
    <w:abstractNumId w:val="37"/>
  </w:num>
  <w:num w:numId="8">
    <w:abstractNumId w:val="44"/>
  </w:num>
  <w:num w:numId="9">
    <w:abstractNumId w:val="13"/>
  </w:num>
  <w:num w:numId="10">
    <w:abstractNumId w:val="33"/>
  </w:num>
  <w:num w:numId="11">
    <w:abstractNumId w:val="10"/>
  </w:num>
  <w:num w:numId="12">
    <w:abstractNumId w:val="3"/>
  </w:num>
  <w:num w:numId="13">
    <w:abstractNumId w:val="29"/>
  </w:num>
  <w:num w:numId="14">
    <w:abstractNumId w:val="9"/>
  </w:num>
  <w:num w:numId="15">
    <w:abstractNumId w:val="47"/>
  </w:num>
  <w:num w:numId="16">
    <w:abstractNumId w:val="17"/>
  </w:num>
  <w:num w:numId="17">
    <w:abstractNumId w:val="18"/>
  </w:num>
  <w:num w:numId="18">
    <w:abstractNumId w:val="26"/>
  </w:num>
  <w:num w:numId="19">
    <w:abstractNumId w:val="12"/>
  </w:num>
  <w:num w:numId="20">
    <w:abstractNumId w:val="45"/>
  </w:num>
  <w:num w:numId="21">
    <w:abstractNumId w:val="16"/>
  </w:num>
  <w:num w:numId="22">
    <w:abstractNumId w:val="39"/>
  </w:num>
  <w:num w:numId="23">
    <w:abstractNumId w:val="19"/>
  </w:num>
  <w:num w:numId="24">
    <w:abstractNumId w:val="28"/>
  </w:num>
  <w:num w:numId="25">
    <w:abstractNumId w:val="22"/>
  </w:num>
  <w:num w:numId="26">
    <w:abstractNumId w:val="20"/>
  </w:num>
  <w:num w:numId="27">
    <w:abstractNumId w:val="38"/>
  </w:num>
  <w:num w:numId="28">
    <w:abstractNumId w:val="15"/>
  </w:num>
  <w:num w:numId="29">
    <w:abstractNumId w:val="40"/>
  </w:num>
  <w:num w:numId="30">
    <w:abstractNumId w:val="6"/>
  </w:num>
  <w:num w:numId="31">
    <w:abstractNumId w:val="32"/>
  </w:num>
  <w:num w:numId="32">
    <w:abstractNumId w:val="34"/>
  </w:num>
  <w:num w:numId="33">
    <w:abstractNumId w:val="30"/>
  </w:num>
  <w:num w:numId="34">
    <w:abstractNumId w:val="4"/>
  </w:num>
  <w:num w:numId="35">
    <w:abstractNumId w:val="14"/>
  </w:num>
  <w:num w:numId="36">
    <w:abstractNumId w:val="41"/>
  </w:num>
  <w:num w:numId="37">
    <w:abstractNumId w:val="23"/>
  </w:num>
  <w:num w:numId="38">
    <w:abstractNumId w:val="31"/>
  </w:num>
  <w:num w:numId="39">
    <w:abstractNumId w:val="8"/>
  </w:num>
  <w:num w:numId="40">
    <w:abstractNumId w:val="1"/>
  </w:num>
  <w:num w:numId="41">
    <w:abstractNumId w:val="5"/>
  </w:num>
  <w:num w:numId="42">
    <w:abstractNumId w:val="11"/>
  </w:num>
  <w:num w:numId="43">
    <w:abstractNumId w:val="43"/>
  </w:num>
  <w:num w:numId="44">
    <w:abstractNumId w:val="2"/>
  </w:num>
  <w:num w:numId="45">
    <w:abstractNumId w:val="27"/>
  </w:num>
  <w:num w:numId="46">
    <w:abstractNumId w:val="21"/>
  </w:num>
  <w:num w:numId="47">
    <w:abstractNumId w:val="42"/>
  </w:num>
  <w:num w:numId="48">
    <w:abstractNumId w:val="0"/>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ctiveWritingStyle w:appName="MSWord" w:lang="da-DK"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E0"/>
    <w:rsid w:val="00000915"/>
    <w:rsid w:val="000072DB"/>
    <w:rsid w:val="0001340B"/>
    <w:rsid w:val="00020159"/>
    <w:rsid w:val="00026783"/>
    <w:rsid w:val="00044885"/>
    <w:rsid w:val="00052554"/>
    <w:rsid w:val="00053CC5"/>
    <w:rsid w:val="000545A1"/>
    <w:rsid w:val="000610DE"/>
    <w:rsid w:val="00080358"/>
    <w:rsid w:val="000911CB"/>
    <w:rsid w:val="00096A26"/>
    <w:rsid w:val="00097799"/>
    <w:rsid w:val="000A35D2"/>
    <w:rsid w:val="000C1055"/>
    <w:rsid w:val="000C5520"/>
    <w:rsid w:val="000D19A2"/>
    <w:rsid w:val="000E24EA"/>
    <w:rsid w:val="000E30FA"/>
    <w:rsid w:val="000E6A8A"/>
    <w:rsid w:val="000F7EE0"/>
    <w:rsid w:val="00115D89"/>
    <w:rsid w:val="00136B67"/>
    <w:rsid w:val="0018243C"/>
    <w:rsid w:val="00183B0E"/>
    <w:rsid w:val="00184189"/>
    <w:rsid w:val="0019499D"/>
    <w:rsid w:val="00195807"/>
    <w:rsid w:val="001A5601"/>
    <w:rsid w:val="001A57FD"/>
    <w:rsid w:val="001C7412"/>
    <w:rsid w:val="001C7E03"/>
    <w:rsid w:val="001D36AD"/>
    <w:rsid w:val="001E2D79"/>
    <w:rsid w:val="001E7483"/>
    <w:rsid w:val="00204150"/>
    <w:rsid w:val="002113DF"/>
    <w:rsid w:val="00222482"/>
    <w:rsid w:val="00223A86"/>
    <w:rsid w:val="002406E1"/>
    <w:rsid w:val="002457AD"/>
    <w:rsid w:val="002467DB"/>
    <w:rsid w:val="00251F78"/>
    <w:rsid w:val="00287854"/>
    <w:rsid w:val="00291163"/>
    <w:rsid w:val="00297160"/>
    <w:rsid w:val="002A4394"/>
    <w:rsid w:val="002A4ACD"/>
    <w:rsid w:val="002C2F6B"/>
    <w:rsid w:val="002C73E3"/>
    <w:rsid w:val="002E24B1"/>
    <w:rsid w:val="002E7041"/>
    <w:rsid w:val="00313F67"/>
    <w:rsid w:val="0033205A"/>
    <w:rsid w:val="00336959"/>
    <w:rsid w:val="003425AF"/>
    <w:rsid w:val="00351E25"/>
    <w:rsid w:val="00353A80"/>
    <w:rsid w:val="00360020"/>
    <w:rsid w:val="00360E4E"/>
    <w:rsid w:val="00365886"/>
    <w:rsid w:val="00376B56"/>
    <w:rsid w:val="003771E3"/>
    <w:rsid w:val="003823D9"/>
    <w:rsid w:val="00384084"/>
    <w:rsid w:val="00395676"/>
    <w:rsid w:val="003A3F9F"/>
    <w:rsid w:val="003B3125"/>
    <w:rsid w:val="003C6DAB"/>
    <w:rsid w:val="003D2E51"/>
    <w:rsid w:val="003E71A3"/>
    <w:rsid w:val="003F1E2B"/>
    <w:rsid w:val="00413D72"/>
    <w:rsid w:val="00427460"/>
    <w:rsid w:val="004311F5"/>
    <w:rsid w:val="004367B5"/>
    <w:rsid w:val="0044077B"/>
    <w:rsid w:val="00452920"/>
    <w:rsid w:val="004552E7"/>
    <w:rsid w:val="004639A0"/>
    <w:rsid w:val="004929BB"/>
    <w:rsid w:val="004A03EE"/>
    <w:rsid w:val="004A638D"/>
    <w:rsid w:val="004B0125"/>
    <w:rsid w:val="004B19D1"/>
    <w:rsid w:val="004B251E"/>
    <w:rsid w:val="004C231F"/>
    <w:rsid w:val="004C4E8D"/>
    <w:rsid w:val="004E467E"/>
    <w:rsid w:val="004F164C"/>
    <w:rsid w:val="00501C83"/>
    <w:rsid w:val="00504F35"/>
    <w:rsid w:val="00507965"/>
    <w:rsid w:val="00532902"/>
    <w:rsid w:val="005342C3"/>
    <w:rsid w:val="0053481C"/>
    <w:rsid w:val="00542606"/>
    <w:rsid w:val="00551E37"/>
    <w:rsid w:val="00554C7D"/>
    <w:rsid w:val="00556ECB"/>
    <w:rsid w:val="005631FC"/>
    <w:rsid w:val="0056585B"/>
    <w:rsid w:val="00580B79"/>
    <w:rsid w:val="005832B8"/>
    <w:rsid w:val="0059107A"/>
    <w:rsid w:val="005A46F2"/>
    <w:rsid w:val="005B6C5F"/>
    <w:rsid w:val="005C1A1C"/>
    <w:rsid w:val="005C4C02"/>
    <w:rsid w:val="005F43BC"/>
    <w:rsid w:val="0060332D"/>
    <w:rsid w:val="00604D52"/>
    <w:rsid w:val="0060502D"/>
    <w:rsid w:val="00611FD1"/>
    <w:rsid w:val="00617101"/>
    <w:rsid w:val="00617A17"/>
    <w:rsid w:val="00620AC3"/>
    <w:rsid w:val="006258BF"/>
    <w:rsid w:val="00626207"/>
    <w:rsid w:val="00626F89"/>
    <w:rsid w:val="00630D8D"/>
    <w:rsid w:val="00633860"/>
    <w:rsid w:val="0064569B"/>
    <w:rsid w:val="00647828"/>
    <w:rsid w:val="0065190A"/>
    <w:rsid w:val="00665992"/>
    <w:rsid w:val="006736EC"/>
    <w:rsid w:val="00680568"/>
    <w:rsid w:val="00693710"/>
    <w:rsid w:val="006944D4"/>
    <w:rsid w:val="006945A8"/>
    <w:rsid w:val="006A196B"/>
    <w:rsid w:val="006B22D3"/>
    <w:rsid w:val="006B3C3C"/>
    <w:rsid w:val="006B64F5"/>
    <w:rsid w:val="006C2495"/>
    <w:rsid w:val="006C55DE"/>
    <w:rsid w:val="006D04C4"/>
    <w:rsid w:val="006D0F1D"/>
    <w:rsid w:val="006D484F"/>
    <w:rsid w:val="006E1182"/>
    <w:rsid w:val="006E5D30"/>
    <w:rsid w:val="006E7E21"/>
    <w:rsid w:val="006F188F"/>
    <w:rsid w:val="0070539F"/>
    <w:rsid w:val="007057F2"/>
    <w:rsid w:val="00730D46"/>
    <w:rsid w:val="0073442B"/>
    <w:rsid w:val="00744253"/>
    <w:rsid w:val="00745477"/>
    <w:rsid w:val="00750544"/>
    <w:rsid w:val="00756FB5"/>
    <w:rsid w:val="00764F69"/>
    <w:rsid w:val="00773026"/>
    <w:rsid w:val="00781217"/>
    <w:rsid w:val="00785266"/>
    <w:rsid w:val="0079337D"/>
    <w:rsid w:val="00794D06"/>
    <w:rsid w:val="007B0B03"/>
    <w:rsid w:val="007B7B74"/>
    <w:rsid w:val="007B7E30"/>
    <w:rsid w:val="007C3E8B"/>
    <w:rsid w:val="007E33E6"/>
    <w:rsid w:val="007F27E5"/>
    <w:rsid w:val="007F568F"/>
    <w:rsid w:val="00802703"/>
    <w:rsid w:val="00806934"/>
    <w:rsid w:val="00806CDA"/>
    <w:rsid w:val="00822435"/>
    <w:rsid w:val="00831372"/>
    <w:rsid w:val="00834623"/>
    <w:rsid w:val="008416E5"/>
    <w:rsid w:val="00847A75"/>
    <w:rsid w:val="008545C1"/>
    <w:rsid w:val="00865473"/>
    <w:rsid w:val="00866FA2"/>
    <w:rsid w:val="00870F3F"/>
    <w:rsid w:val="00897BAF"/>
    <w:rsid w:val="008B092D"/>
    <w:rsid w:val="008B39C1"/>
    <w:rsid w:val="008B4AA5"/>
    <w:rsid w:val="008B6E0A"/>
    <w:rsid w:val="008E4BE3"/>
    <w:rsid w:val="008E5F6A"/>
    <w:rsid w:val="008E7764"/>
    <w:rsid w:val="008F23A8"/>
    <w:rsid w:val="008F6786"/>
    <w:rsid w:val="0091438E"/>
    <w:rsid w:val="009152A9"/>
    <w:rsid w:val="00923039"/>
    <w:rsid w:val="00925DA8"/>
    <w:rsid w:val="00926100"/>
    <w:rsid w:val="0093342C"/>
    <w:rsid w:val="00940D91"/>
    <w:rsid w:val="00941808"/>
    <w:rsid w:val="0094699F"/>
    <w:rsid w:val="0094707F"/>
    <w:rsid w:val="00950084"/>
    <w:rsid w:val="00954BB0"/>
    <w:rsid w:val="009565C3"/>
    <w:rsid w:val="00963052"/>
    <w:rsid w:val="00963502"/>
    <w:rsid w:val="0096691A"/>
    <w:rsid w:val="0098537D"/>
    <w:rsid w:val="00991462"/>
    <w:rsid w:val="00993F42"/>
    <w:rsid w:val="00996F04"/>
    <w:rsid w:val="009A04D0"/>
    <w:rsid w:val="009A6893"/>
    <w:rsid w:val="009A7C29"/>
    <w:rsid w:val="009B3D1A"/>
    <w:rsid w:val="009B7465"/>
    <w:rsid w:val="009C137B"/>
    <w:rsid w:val="009C1B4C"/>
    <w:rsid w:val="009D2577"/>
    <w:rsid w:val="009D4201"/>
    <w:rsid w:val="009D5A9D"/>
    <w:rsid w:val="009D7492"/>
    <w:rsid w:val="00A14F52"/>
    <w:rsid w:val="00A2119F"/>
    <w:rsid w:val="00A23856"/>
    <w:rsid w:val="00A4651C"/>
    <w:rsid w:val="00A61283"/>
    <w:rsid w:val="00A64A02"/>
    <w:rsid w:val="00A65B2C"/>
    <w:rsid w:val="00A850A8"/>
    <w:rsid w:val="00A92642"/>
    <w:rsid w:val="00A9702C"/>
    <w:rsid w:val="00AA075E"/>
    <w:rsid w:val="00AB228B"/>
    <w:rsid w:val="00AB39D0"/>
    <w:rsid w:val="00AB6B5F"/>
    <w:rsid w:val="00AD2AA6"/>
    <w:rsid w:val="00AD3795"/>
    <w:rsid w:val="00AF6BC9"/>
    <w:rsid w:val="00B13BE4"/>
    <w:rsid w:val="00B26B49"/>
    <w:rsid w:val="00B3065E"/>
    <w:rsid w:val="00B5154B"/>
    <w:rsid w:val="00B53E23"/>
    <w:rsid w:val="00B56821"/>
    <w:rsid w:val="00B5767D"/>
    <w:rsid w:val="00B61B92"/>
    <w:rsid w:val="00B6347A"/>
    <w:rsid w:val="00B63B9A"/>
    <w:rsid w:val="00B64E73"/>
    <w:rsid w:val="00B71D59"/>
    <w:rsid w:val="00B856FE"/>
    <w:rsid w:val="00B87CDB"/>
    <w:rsid w:val="00BA30EC"/>
    <w:rsid w:val="00BB27CB"/>
    <w:rsid w:val="00BB5DD2"/>
    <w:rsid w:val="00BD13FE"/>
    <w:rsid w:val="00BD4A38"/>
    <w:rsid w:val="00BE6B7B"/>
    <w:rsid w:val="00BF24C3"/>
    <w:rsid w:val="00C0225E"/>
    <w:rsid w:val="00C032A8"/>
    <w:rsid w:val="00C03F9D"/>
    <w:rsid w:val="00C210FB"/>
    <w:rsid w:val="00C268D6"/>
    <w:rsid w:val="00C3548F"/>
    <w:rsid w:val="00C413D1"/>
    <w:rsid w:val="00C51A66"/>
    <w:rsid w:val="00C55A96"/>
    <w:rsid w:val="00C66A37"/>
    <w:rsid w:val="00C7025C"/>
    <w:rsid w:val="00C7382C"/>
    <w:rsid w:val="00C92435"/>
    <w:rsid w:val="00C96F1A"/>
    <w:rsid w:val="00CA34BC"/>
    <w:rsid w:val="00CB4490"/>
    <w:rsid w:val="00CF28CE"/>
    <w:rsid w:val="00CF34DF"/>
    <w:rsid w:val="00D0001A"/>
    <w:rsid w:val="00D1064E"/>
    <w:rsid w:val="00D3103E"/>
    <w:rsid w:val="00D3657F"/>
    <w:rsid w:val="00D37349"/>
    <w:rsid w:val="00D43FEF"/>
    <w:rsid w:val="00D52FDD"/>
    <w:rsid w:val="00D57E2B"/>
    <w:rsid w:val="00D63537"/>
    <w:rsid w:val="00D659E8"/>
    <w:rsid w:val="00D6647C"/>
    <w:rsid w:val="00D92669"/>
    <w:rsid w:val="00DA43E6"/>
    <w:rsid w:val="00DA7563"/>
    <w:rsid w:val="00DC736B"/>
    <w:rsid w:val="00DE6D45"/>
    <w:rsid w:val="00DF3DA6"/>
    <w:rsid w:val="00DF5FD3"/>
    <w:rsid w:val="00E12D83"/>
    <w:rsid w:val="00E16BF5"/>
    <w:rsid w:val="00E224D3"/>
    <w:rsid w:val="00E24710"/>
    <w:rsid w:val="00E55AE0"/>
    <w:rsid w:val="00E569B3"/>
    <w:rsid w:val="00E61AA8"/>
    <w:rsid w:val="00E63900"/>
    <w:rsid w:val="00E63E10"/>
    <w:rsid w:val="00E728A4"/>
    <w:rsid w:val="00EA4611"/>
    <w:rsid w:val="00EA4925"/>
    <w:rsid w:val="00EA5F14"/>
    <w:rsid w:val="00EA7206"/>
    <w:rsid w:val="00EA7720"/>
    <w:rsid w:val="00EB4A6D"/>
    <w:rsid w:val="00EC2BD8"/>
    <w:rsid w:val="00EC71A2"/>
    <w:rsid w:val="00EE09CB"/>
    <w:rsid w:val="00EE7562"/>
    <w:rsid w:val="00F225F7"/>
    <w:rsid w:val="00F22769"/>
    <w:rsid w:val="00F22DAC"/>
    <w:rsid w:val="00F2310A"/>
    <w:rsid w:val="00F35491"/>
    <w:rsid w:val="00F45FB5"/>
    <w:rsid w:val="00F5229B"/>
    <w:rsid w:val="00F742B6"/>
    <w:rsid w:val="00F901DA"/>
    <w:rsid w:val="00F9214D"/>
    <w:rsid w:val="00F92BA2"/>
    <w:rsid w:val="00F93F0E"/>
    <w:rsid w:val="00FC28C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1FDD42-4278-43C9-B965-9F10F827A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7CB"/>
    <w:rPr>
      <w:rFonts w:ascii="Arial" w:hAnsi="Arial"/>
      <w:sz w:val="22"/>
      <w:szCs w:val="24"/>
    </w:rPr>
  </w:style>
  <w:style w:type="paragraph" w:styleId="Overskrift1">
    <w:name w:val="heading 1"/>
    <w:basedOn w:val="Normal"/>
    <w:next w:val="Normal"/>
    <w:link w:val="Overskrift1Tegn"/>
    <w:qFormat/>
    <w:rsid w:val="00E55AE0"/>
    <w:pPr>
      <w:keepNext/>
      <w:keepLines/>
      <w:spacing w:before="48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nhideWhenUsed/>
    <w:qFormat/>
    <w:rsid w:val="00E55AE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qFormat/>
    <w:rsid w:val="0094707F"/>
    <w:pPr>
      <w:keepNext/>
      <w:spacing w:before="240" w:after="60"/>
      <w:ind w:left="720" w:hanging="720"/>
      <w:jc w:val="both"/>
      <w:outlineLvl w:val="2"/>
    </w:pPr>
    <w:rPr>
      <w:rFonts w:asciiTheme="minorHAnsi" w:hAnsiTheme="minorHAnsi" w:cs="Arial"/>
      <w:b/>
      <w:bCs/>
      <w:szCs w:val="26"/>
      <w:lang w:eastAsia="en-US"/>
    </w:rPr>
  </w:style>
  <w:style w:type="paragraph" w:styleId="Overskrift4">
    <w:name w:val="heading 4"/>
    <w:basedOn w:val="Normal"/>
    <w:next w:val="Normal"/>
    <w:link w:val="Overskrift4Tegn"/>
    <w:qFormat/>
    <w:rsid w:val="0094707F"/>
    <w:pPr>
      <w:keepNext/>
      <w:tabs>
        <w:tab w:val="num" w:pos="864"/>
      </w:tabs>
      <w:ind w:left="864" w:hanging="864"/>
      <w:jc w:val="both"/>
      <w:outlineLvl w:val="3"/>
    </w:pPr>
    <w:rPr>
      <w:rFonts w:ascii="Times New Roman" w:hAnsi="Times New Roman"/>
      <w:bCs/>
      <w:sz w:val="24"/>
      <w:szCs w:val="28"/>
      <w:u w:val="single"/>
      <w:lang w:eastAsia="en-US"/>
    </w:rPr>
  </w:style>
  <w:style w:type="paragraph" w:styleId="Overskrift5">
    <w:name w:val="heading 5"/>
    <w:basedOn w:val="Normal"/>
    <w:next w:val="Normal"/>
    <w:link w:val="Overskrift5Tegn"/>
    <w:qFormat/>
    <w:rsid w:val="0094707F"/>
    <w:pPr>
      <w:tabs>
        <w:tab w:val="num" w:pos="1008"/>
      </w:tabs>
      <w:spacing w:before="240" w:after="60"/>
      <w:ind w:left="1008" w:hanging="1008"/>
      <w:jc w:val="both"/>
      <w:outlineLvl w:val="4"/>
    </w:pPr>
    <w:rPr>
      <w:rFonts w:ascii="Times New Roman" w:hAnsi="Times New Roman"/>
      <w:b/>
      <w:bCs/>
      <w:i/>
      <w:iCs/>
      <w:sz w:val="26"/>
      <w:szCs w:val="26"/>
      <w:lang w:eastAsia="en-US"/>
    </w:rPr>
  </w:style>
  <w:style w:type="paragraph" w:styleId="Overskrift6">
    <w:name w:val="heading 6"/>
    <w:basedOn w:val="Normal"/>
    <w:next w:val="Normal"/>
    <w:link w:val="Overskrift6Tegn"/>
    <w:qFormat/>
    <w:rsid w:val="0094707F"/>
    <w:pPr>
      <w:tabs>
        <w:tab w:val="num" w:pos="1152"/>
      </w:tabs>
      <w:spacing w:before="240" w:after="60"/>
      <w:ind w:left="1152" w:hanging="1152"/>
      <w:jc w:val="both"/>
      <w:outlineLvl w:val="5"/>
    </w:pPr>
    <w:rPr>
      <w:rFonts w:ascii="Times New Roman" w:hAnsi="Times New Roman"/>
      <w:b/>
      <w:bCs/>
      <w:szCs w:val="22"/>
      <w:lang w:eastAsia="en-US"/>
    </w:rPr>
  </w:style>
  <w:style w:type="paragraph" w:styleId="Overskrift7">
    <w:name w:val="heading 7"/>
    <w:basedOn w:val="Normal"/>
    <w:next w:val="Normal"/>
    <w:link w:val="Overskrift7Tegn"/>
    <w:qFormat/>
    <w:rsid w:val="0094707F"/>
    <w:pPr>
      <w:tabs>
        <w:tab w:val="num" w:pos="1296"/>
      </w:tabs>
      <w:spacing w:before="240" w:after="60"/>
      <w:ind w:left="1296" w:hanging="1296"/>
      <w:jc w:val="both"/>
      <w:outlineLvl w:val="6"/>
    </w:pPr>
    <w:rPr>
      <w:rFonts w:ascii="Times New Roman" w:hAnsi="Times New Roman"/>
      <w:sz w:val="24"/>
      <w:lang w:eastAsia="en-US"/>
    </w:rPr>
  </w:style>
  <w:style w:type="paragraph" w:styleId="Overskrift8">
    <w:name w:val="heading 8"/>
    <w:basedOn w:val="Normal"/>
    <w:next w:val="Normal"/>
    <w:link w:val="Overskrift8Tegn"/>
    <w:qFormat/>
    <w:rsid w:val="0094707F"/>
    <w:pPr>
      <w:tabs>
        <w:tab w:val="num" w:pos="1440"/>
      </w:tabs>
      <w:spacing w:before="240" w:after="60"/>
      <w:ind w:left="1440" w:hanging="1440"/>
      <w:jc w:val="both"/>
      <w:outlineLvl w:val="7"/>
    </w:pPr>
    <w:rPr>
      <w:rFonts w:ascii="Times New Roman" w:hAnsi="Times New Roman"/>
      <w:i/>
      <w:iCs/>
      <w:sz w:val="24"/>
      <w:lang w:eastAsia="en-US"/>
    </w:rPr>
  </w:style>
  <w:style w:type="paragraph" w:styleId="Overskrift9">
    <w:name w:val="heading 9"/>
    <w:basedOn w:val="Normal"/>
    <w:next w:val="Normal"/>
    <w:link w:val="Overskrift9Tegn"/>
    <w:qFormat/>
    <w:rsid w:val="0094707F"/>
    <w:pPr>
      <w:tabs>
        <w:tab w:val="num" w:pos="1584"/>
      </w:tabs>
      <w:spacing w:before="240" w:after="60"/>
      <w:ind w:left="1584" w:hanging="1584"/>
      <w:jc w:val="both"/>
      <w:outlineLvl w:val="8"/>
    </w:pPr>
    <w:rPr>
      <w:rFonts w:cs="Arial"/>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Fremhv">
    <w:name w:val="Emphasis"/>
    <w:basedOn w:val="Standardskrifttypeiafsnit"/>
    <w:uiPriority w:val="20"/>
    <w:qFormat/>
    <w:rsid w:val="0001340B"/>
    <w:rPr>
      <w:i/>
      <w:iCs/>
    </w:rPr>
  </w:style>
  <w:style w:type="paragraph" w:styleId="Titel">
    <w:name w:val="Title"/>
    <w:basedOn w:val="Normal"/>
    <w:next w:val="Normal"/>
    <w:link w:val="TitelTegn"/>
    <w:rsid w:val="000134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rsid w:val="0001340B"/>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rsid w:val="0001340B"/>
    <w:pPr>
      <w:numPr>
        <w:ilvl w:val="1"/>
      </w:numPr>
    </w:pPr>
    <w:rPr>
      <w:rFonts w:asciiTheme="majorHAnsi" w:eastAsiaTheme="majorEastAsia" w:hAnsiTheme="majorHAnsi" w:cstheme="majorBidi"/>
      <w:i/>
      <w:iCs/>
      <w:color w:val="4F81BD" w:themeColor="accent1"/>
      <w:spacing w:val="15"/>
    </w:rPr>
  </w:style>
  <w:style w:type="character" w:customStyle="1" w:styleId="UndertitelTegn">
    <w:name w:val="Undertitel Tegn"/>
    <w:basedOn w:val="Standardskrifttypeiafsnit"/>
    <w:link w:val="Undertitel"/>
    <w:rsid w:val="0001340B"/>
    <w:rPr>
      <w:rFonts w:asciiTheme="majorHAnsi" w:eastAsiaTheme="majorEastAsia" w:hAnsiTheme="majorHAnsi" w:cstheme="majorBidi"/>
      <w:i/>
      <w:iCs/>
      <w:color w:val="4F81BD" w:themeColor="accent1"/>
      <w:spacing w:val="15"/>
      <w:sz w:val="24"/>
      <w:szCs w:val="24"/>
    </w:rPr>
  </w:style>
  <w:style w:type="character" w:styleId="Svaghenvisning">
    <w:name w:val="Subtle Reference"/>
    <w:basedOn w:val="Standardskrifttypeiafsnit"/>
    <w:uiPriority w:val="31"/>
    <w:rsid w:val="0001340B"/>
    <w:rPr>
      <w:smallCaps/>
      <w:color w:val="C0504D" w:themeColor="accent2"/>
      <w:u w:val="single"/>
    </w:rPr>
  </w:style>
  <w:style w:type="character" w:customStyle="1" w:styleId="Overskrift1Tegn">
    <w:name w:val="Overskrift 1 Tegn"/>
    <w:basedOn w:val="Standardskrifttypeiafsnit"/>
    <w:link w:val="Overskrift1"/>
    <w:rsid w:val="00E55AE0"/>
    <w:rPr>
      <w:rFonts w:ascii="Arial" w:eastAsiaTheme="majorEastAsia" w:hAnsi="Arial" w:cstheme="majorBidi"/>
      <w:b/>
      <w:bCs/>
      <w:color w:val="365F91" w:themeColor="accent1" w:themeShade="BF"/>
      <w:sz w:val="28"/>
      <w:szCs w:val="28"/>
    </w:rPr>
  </w:style>
  <w:style w:type="paragraph" w:styleId="Ingenafstand">
    <w:name w:val="No Spacing"/>
    <w:link w:val="IngenafstandTegn"/>
    <w:uiPriority w:val="1"/>
    <w:qFormat/>
    <w:rsid w:val="00E55AE0"/>
    <w:rPr>
      <w:rFonts w:asciiTheme="minorHAnsi" w:eastAsiaTheme="minorEastAsia" w:hAnsiTheme="minorHAnsi" w:cstheme="minorBidi"/>
      <w:sz w:val="22"/>
      <w:szCs w:val="22"/>
    </w:rPr>
  </w:style>
  <w:style w:type="character" w:customStyle="1" w:styleId="IngenafstandTegn">
    <w:name w:val="Ingen afstand Tegn"/>
    <w:basedOn w:val="Standardskrifttypeiafsnit"/>
    <w:link w:val="Ingenafstand"/>
    <w:uiPriority w:val="1"/>
    <w:rsid w:val="00E55AE0"/>
    <w:rPr>
      <w:rFonts w:asciiTheme="minorHAnsi" w:eastAsiaTheme="minorEastAsia" w:hAnsiTheme="minorHAnsi" w:cstheme="minorBidi"/>
      <w:sz w:val="22"/>
      <w:szCs w:val="22"/>
    </w:rPr>
  </w:style>
  <w:style w:type="paragraph" w:customStyle="1" w:styleId="Typografi2">
    <w:name w:val="Typografi2"/>
    <w:basedOn w:val="Normal"/>
    <w:link w:val="Typografi2Tegn"/>
    <w:autoRedefine/>
    <w:qFormat/>
    <w:rsid w:val="006C2495"/>
    <w:rPr>
      <w:b/>
    </w:rPr>
  </w:style>
  <w:style w:type="character" w:customStyle="1" w:styleId="Overskrift2Tegn">
    <w:name w:val="Overskrift 2 Tegn"/>
    <w:basedOn w:val="Standardskrifttypeiafsnit"/>
    <w:link w:val="Overskrift2"/>
    <w:rsid w:val="00E55AE0"/>
    <w:rPr>
      <w:rFonts w:asciiTheme="majorHAnsi" w:eastAsiaTheme="majorEastAsia" w:hAnsiTheme="majorHAnsi" w:cstheme="majorBidi"/>
      <w:color w:val="365F91" w:themeColor="accent1" w:themeShade="BF"/>
      <w:sz w:val="26"/>
      <w:szCs w:val="26"/>
    </w:rPr>
  </w:style>
  <w:style w:type="character" w:customStyle="1" w:styleId="Typografi2Tegn">
    <w:name w:val="Typografi2 Tegn"/>
    <w:basedOn w:val="Standardskrifttypeiafsnit"/>
    <w:link w:val="Typografi2"/>
    <w:rsid w:val="006C2495"/>
    <w:rPr>
      <w:rFonts w:ascii="Arial" w:hAnsi="Arial"/>
      <w:b/>
      <w:sz w:val="22"/>
      <w:szCs w:val="24"/>
    </w:rPr>
  </w:style>
  <w:style w:type="paragraph" w:customStyle="1" w:styleId="Normal1">
    <w:name w:val="Normal1"/>
    <w:basedOn w:val="Normal"/>
    <w:link w:val="normalTegn"/>
    <w:rsid w:val="00E55AE0"/>
    <w:pPr>
      <w:jc w:val="both"/>
    </w:pPr>
    <w:rPr>
      <w:rFonts w:ascii="Times New Roman" w:hAnsi="Times New Roman"/>
      <w:color w:val="000000"/>
      <w:sz w:val="24"/>
      <w:szCs w:val="17"/>
    </w:rPr>
  </w:style>
  <w:style w:type="character" w:customStyle="1" w:styleId="normalTegn">
    <w:name w:val="normal Tegn"/>
    <w:basedOn w:val="Standardskrifttypeiafsnit"/>
    <w:link w:val="Normal1"/>
    <w:rsid w:val="00E55AE0"/>
    <w:rPr>
      <w:color w:val="000000"/>
      <w:sz w:val="24"/>
      <w:szCs w:val="17"/>
    </w:rPr>
  </w:style>
  <w:style w:type="paragraph" w:styleId="Billedtekst">
    <w:name w:val="caption"/>
    <w:basedOn w:val="Normal"/>
    <w:next w:val="Normal"/>
    <w:qFormat/>
    <w:rsid w:val="006C2495"/>
    <w:pPr>
      <w:jc w:val="both"/>
    </w:pPr>
    <w:rPr>
      <w:rFonts w:asciiTheme="minorHAnsi" w:hAnsiTheme="minorHAnsi"/>
      <w:bCs/>
      <w:sz w:val="18"/>
      <w:szCs w:val="20"/>
      <w:lang w:eastAsia="en-US"/>
    </w:rPr>
  </w:style>
  <w:style w:type="character" w:customStyle="1" w:styleId="Overskrift3Tegn">
    <w:name w:val="Overskrift 3 Tegn"/>
    <w:basedOn w:val="Standardskrifttypeiafsnit"/>
    <w:link w:val="Overskrift3"/>
    <w:rsid w:val="0094707F"/>
    <w:rPr>
      <w:rFonts w:asciiTheme="minorHAnsi" w:hAnsiTheme="minorHAnsi" w:cs="Arial"/>
      <w:b/>
      <w:bCs/>
      <w:sz w:val="22"/>
      <w:szCs w:val="26"/>
      <w:lang w:eastAsia="en-US"/>
    </w:rPr>
  </w:style>
  <w:style w:type="character" w:customStyle="1" w:styleId="Overskrift4Tegn">
    <w:name w:val="Overskrift 4 Tegn"/>
    <w:basedOn w:val="Standardskrifttypeiafsnit"/>
    <w:link w:val="Overskrift4"/>
    <w:rsid w:val="0094707F"/>
    <w:rPr>
      <w:bCs/>
      <w:sz w:val="24"/>
      <w:szCs w:val="28"/>
      <w:u w:val="single"/>
      <w:lang w:eastAsia="en-US"/>
    </w:rPr>
  </w:style>
  <w:style w:type="character" w:customStyle="1" w:styleId="Overskrift5Tegn">
    <w:name w:val="Overskrift 5 Tegn"/>
    <w:basedOn w:val="Standardskrifttypeiafsnit"/>
    <w:link w:val="Overskrift5"/>
    <w:rsid w:val="0094707F"/>
    <w:rPr>
      <w:b/>
      <w:bCs/>
      <w:i/>
      <w:iCs/>
      <w:sz w:val="26"/>
      <w:szCs w:val="26"/>
      <w:lang w:eastAsia="en-US"/>
    </w:rPr>
  </w:style>
  <w:style w:type="character" w:customStyle="1" w:styleId="Overskrift6Tegn">
    <w:name w:val="Overskrift 6 Tegn"/>
    <w:basedOn w:val="Standardskrifttypeiafsnit"/>
    <w:link w:val="Overskrift6"/>
    <w:rsid w:val="0094707F"/>
    <w:rPr>
      <w:b/>
      <w:bCs/>
      <w:sz w:val="22"/>
      <w:szCs w:val="22"/>
      <w:lang w:eastAsia="en-US"/>
    </w:rPr>
  </w:style>
  <w:style w:type="character" w:customStyle="1" w:styleId="Overskrift7Tegn">
    <w:name w:val="Overskrift 7 Tegn"/>
    <w:basedOn w:val="Standardskrifttypeiafsnit"/>
    <w:link w:val="Overskrift7"/>
    <w:rsid w:val="0094707F"/>
    <w:rPr>
      <w:sz w:val="24"/>
      <w:szCs w:val="24"/>
      <w:lang w:eastAsia="en-US"/>
    </w:rPr>
  </w:style>
  <w:style w:type="character" w:customStyle="1" w:styleId="Overskrift8Tegn">
    <w:name w:val="Overskrift 8 Tegn"/>
    <w:basedOn w:val="Standardskrifttypeiafsnit"/>
    <w:link w:val="Overskrift8"/>
    <w:rsid w:val="0094707F"/>
    <w:rPr>
      <w:i/>
      <w:iCs/>
      <w:sz w:val="24"/>
      <w:szCs w:val="24"/>
      <w:lang w:eastAsia="en-US"/>
    </w:rPr>
  </w:style>
  <w:style w:type="character" w:customStyle="1" w:styleId="Overskrift9Tegn">
    <w:name w:val="Overskrift 9 Tegn"/>
    <w:basedOn w:val="Standardskrifttypeiafsnit"/>
    <w:link w:val="Overskrift9"/>
    <w:rsid w:val="0094707F"/>
    <w:rPr>
      <w:rFonts w:ascii="Arial" w:hAnsi="Arial" w:cs="Arial"/>
      <w:sz w:val="22"/>
      <w:szCs w:val="22"/>
      <w:lang w:eastAsia="en-US"/>
    </w:rPr>
  </w:style>
  <w:style w:type="paragraph" w:styleId="Fodnotetekst">
    <w:name w:val="footnote text"/>
    <w:basedOn w:val="Normal"/>
    <w:link w:val="FodnotetekstTegn"/>
    <w:uiPriority w:val="99"/>
    <w:rsid w:val="0094707F"/>
    <w:pPr>
      <w:jc w:val="both"/>
    </w:pPr>
    <w:rPr>
      <w:rFonts w:ascii="Times New Roman" w:hAnsi="Times New Roman"/>
      <w:sz w:val="24"/>
      <w:lang w:eastAsia="en-US"/>
    </w:rPr>
  </w:style>
  <w:style w:type="character" w:customStyle="1" w:styleId="FodnotetekstTegn">
    <w:name w:val="Fodnotetekst Tegn"/>
    <w:basedOn w:val="Standardskrifttypeiafsnit"/>
    <w:link w:val="Fodnotetekst"/>
    <w:uiPriority w:val="99"/>
    <w:rsid w:val="0094707F"/>
    <w:rPr>
      <w:sz w:val="24"/>
      <w:szCs w:val="24"/>
      <w:lang w:eastAsia="en-US"/>
    </w:rPr>
  </w:style>
  <w:style w:type="character" w:styleId="Fodnotehenvisning">
    <w:name w:val="footnote reference"/>
    <w:basedOn w:val="Standardskrifttypeiafsnit"/>
    <w:uiPriority w:val="99"/>
    <w:semiHidden/>
    <w:rsid w:val="0094707F"/>
    <w:rPr>
      <w:vertAlign w:val="superscript"/>
    </w:rPr>
  </w:style>
  <w:style w:type="character" w:styleId="Hyperlink">
    <w:name w:val="Hyperlink"/>
    <w:basedOn w:val="Standardskrifttypeiafsnit"/>
    <w:uiPriority w:val="99"/>
    <w:rsid w:val="0094707F"/>
    <w:rPr>
      <w:color w:val="0000FF"/>
      <w:u w:val="single"/>
    </w:rPr>
  </w:style>
  <w:style w:type="paragraph" w:styleId="Sidefod">
    <w:name w:val="footer"/>
    <w:basedOn w:val="Normal"/>
    <w:link w:val="SidefodTegn"/>
    <w:uiPriority w:val="99"/>
    <w:rsid w:val="0094707F"/>
    <w:pPr>
      <w:tabs>
        <w:tab w:val="center" w:pos="4819"/>
        <w:tab w:val="right" w:pos="9638"/>
      </w:tabs>
      <w:jc w:val="both"/>
    </w:pPr>
    <w:rPr>
      <w:rFonts w:ascii="Times New Roman" w:hAnsi="Times New Roman"/>
      <w:sz w:val="24"/>
      <w:lang w:eastAsia="en-US"/>
    </w:rPr>
  </w:style>
  <w:style w:type="character" w:customStyle="1" w:styleId="SidefodTegn">
    <w:name w:val="Sidefod Tegn"/>
    <w:basedOn w:val="Standardskrifttypeiafsnit"/>
    <w:link w:val="Sidefod"/>
    <w:uiPriority w:val="99"/>
    <w:rsid w:val="0094707F"/>
    <w:rPr>
      <w:sz w:val="24"/>
      <w:szCs w:val="24"/>
      <w:lang w:eastAsia="en-US"/>
    </w:rPr>
  </w:style>
  <w:style w:type="paragraph" w:customStyle="1" w:styleId="Fodnote">
    <w:name w:val="Fodnote"/>
    <w:basedOn w:val="Fodnotetekst"/>
    <w:qFormat/>
    <w:rsid w:val="0094707F"/>
    <w:rPr>
      <w:lang w:eastAsia="da-DK"/>
    </w:rPr>
  </w:style>
  <w:style w:type="paragraph" w:customStyle="1" w:styleId="Farvetliste-fremhvningsfarve12">
    <w:name w:val="Farvet liste - fremhævningsfarve 12"/>
    <w:basedOn w:val="Normal"/>
    <w:uiPriority w:val="34"/>
    <w:qFormat/>
    <w:rsid w:val="0094707F"/>
    <w:pPr>
      <w:ind w:left="1304"/>
      <w:jc w:val="both"/>
    </w:pPr>
    <w:rPr>
      <w:rFonts w:ascii="Times New Roman" w:hAnsi="Times New Roman"/>
      <w:sz w:val="24"/>
      <w:lang w:eastAsia="en-US"/>
    </w:rPr>
  </w:style>
  <w:style w:type="character" w:styleId="Kommentarhenvisning">
    <w:name w:val="annotation reference"/>
    <w:basedOn w:val="Standardskrifttypeiafsnit"/>
    <w:semiHidden/>
    <w:rsid w:val="0094707F"/>
    <w:rPr>
      <w:sz w:val="16"/>
      <w:szCs w:val="16"/>
    </w:rPr>
  </w:style>
  <w:style w:type="paragraph" w:styleId="Kommentartekst">
    <w:name w:val="annotation text"/>
    <w:basedOn w:val="Normal"/>
    <w:link w:val="KommentartekstTegn"/>
    <w:semiHidden/>
    <w:rsid w:val="0094707F"/>
    <w:pPr>
      <w:jc w:val="both"/>
    </w:pPr>
    <w:rPr>
      <w:rFonts w:ascii="Times New Roman" w:hAnsi="Times New Roman"/>
      <w:sz w:val="20"/>
      <w:szCs w:val="20"/>
      <w:lang w:eastAsia="en-US"/>
    </w:rPr>
  </w:style>
  <w:style w:type="character" w:customStyle="1" w:styleId="KommentartekstTegn">
    <w:name w:val="Kommentartekst Tegn"/>
    <w:basedOn w:val="Standardskrifttypeiafsnit"/>
    <w:link w:val="Kommentartekst"/>
    <w:semiHidden/>
    <w:rsid w:val="0094707F"/>
    <w:rPr>
      <w:lang w:eastAsia="en-US"/>
    </w:rPr>
  </w:style>
  <w:style w:type="paragraph" w:styleId="Kommentaremne">
    <w:name w:val="annotation subject"/>
    <w:basedOn w:val="Kommentartekst"/>
    <w:next w:val="Kommentartekst"/>
    <w:link w:val="KommentaremneTegn"/>
    <w:semiHidden/>
    <w:rsid w:val="0094707F"/>
    <w:rPr>
      <w:b/>
      <w:bCs/>
    </w:rPr>
  </w:style>
  <w:style w:type="character" w:customStyle="1" w:styleId="KommentaremneTegn">
    <w:name w:val="Kommentaremne Tegn"/>
    <w:basedOn w:val="KommentartekstTegn"/>
    <w:link w:val="Kommentaremne"/>
    <w:semiHidden/>
    <w:rsid w:val="0094707F"/>
    <w:rPr>
      <w:b/>
      <w:bCs/>
      <w:lang w:eastAsia="en-US"/>
    </w:rPr>
  </w:style>
  <w:style w:type="paragraph" w:styleId="Markeringsbobletekst">
    <w:name w:val="Balloon Text"/>
    <w:basedOn w:val="Normal"/>
    <w:link w:val="MarkeringsbobletekstTegn"/>
    <w:semiHidden/>
    <w:rsid w:val="0094707F"/>
    <w:pPr>
      <w:jc w:val="both"/>
    </w:pPr>
    <w:rPr>
      <w:rFonts w:ascii="Tahoma" w:hAnsi="Tahoma" w:cs="Tahoma"/>
      <w:sz w:val="16"/>
      <w:szCs w:val="16"/>
      <w:lang w:eastAsia="en-US"/>
    </w:rPr>
  </w:style>
  <w:style w:type="character" w:customStyle="1" w:styleId="MarkeringsbobletekstTegn">
    <w:name w:val="Markeringsbobletekst Tegn"/>
    <w:basedOn w:val="Standardskrifttypeiafsnit"/>
    <w:link w:val="Markeringsbobletekst"/>
    <w:semiHidden/>
    <w:rsid w:val="0094707F"/>
    <w:rPr>
      <w:rFonts w:ascii="Tahoma" w:hAnsi="Tahoma" w:cs="Tahoma"/>
      <w:sz w:val="16"/>
      <w:szCs w:val="16"/>
      <w:lang w:eastAsia="en-US"/>
    </w:rPr>
  </w:style>
  <w:style w:type="character" w:styleId="BesgtLink">
    <w:name w:val="FollowedHyperlink"/>
    <w:basedOn w:val="Standardskrifttypeiafsnit"/>
    <w:uiPriority w:val="99"/>
    <w:rsid w:val="0094707F"/>
    <w:rPr>
      <w:color w:val="800080"/>
      <w:u w:val="single"/>
    </w:rPr>
  </w:style>
  <w:style w:type="paragraph" w:styleId="Sidehoved">
    <w:name w:val="header"/>
    <w:basedOn w:val="Normal"/>
    <w:link w:val="SidehovedTegn"/>
    <w:uiPriority w:val="99"/>
    <w:unhideWhenUsed/>
    <w:rsid w:val="0094707F"/>
    <w:pPr>
      <w:tabs>
        <w:tab w:val="center" w:pos="4819"/>
        <w:tab w:val="right" w:pos="9638"/>
      </w:tabs>
      <w:jc w:val="both"/>
    </w:pPr>
    <w:rPr>
      <w:rFonts w:ascii="Times New Roman" w:hAnsi="Times New Roman"/>
      <w:sz w:val="24"/>
      <w:lang w:eastAsia="en-US"/>
    </w:rPr>
  </w:style>
  <w:style w:type="character" w:customStyle="1" w:styleId="SidehovedTegn">
    <w:name w:val="Sidehoved Tegn"/>
    <w:basedOn w:val="Standardskrifttypeiafsnit"/>
    <w:link w:val="Sidehoved"/>
    <w:uiPriority w:val="99"/>
    <w:rsid w:val="0094707F"/>
    <w:rPr>
      <w:sz w:val="24"/>
      <w:szCs w:val="24"/>
      <w:lang w:eastAsia="en-US"/>
    </w:rPr>
  </w:style>
  <w:style w:type="character" w:customStyle="1" w:styleId="normalChar">
    <w:name w:val="normal Char"/>
    <w:basedOn w:val="Standardskrifttypeiafsnit"/>
    <w:rsid w:val="0094707F"/>
    <w:rPr>
      <w:rFonts w:ascii="Garamond" w:hAnsi="Garamond"/>
      <w:color w:val="000000"/>
      <w:sz w:val="24"/>
      <w:szCs w:val="17"/>
      <w:lang w:val="da-DK" w:eastAsia="da-DK" w:bidi="ar-SA"/>
    </w:rPr>
  </w:style>
  <w:style w:type="paragraph" w:customStyle="1" w:styleId="Citattekst">
    <w:name w:val="Citattekst"/>
    <w:basedOn w:val="Normal"/>
    <w:link w:val="CitattekstTegn"/>
    <w:rsid w:val="0094707F"/>
    <w:pPr>
      <w:ind w:left="720"/>
      <w:jc w:val="both"/>
    </w:pPr>
    <w:rPr>
      <w:rFonts w:ascii="Times New Roman" w:hAnsi="Times New Roman"/>
      <w:i/>
      <w:sz w:val="20"/>
      <w:lang w:eastAsia="en-US"/>
    </w:rPr>
  </w:style>
  <w:style w:type="character" w:customStyle="1" w:styleId="CitattekstTegn">
    <w:name w:val="Citattekst Tegn"/>
    <w:basedOn w:val="Standardskrifttypeiafsnit"/>
    <w:link w:val="Citattekst"/>
    <w:rsid w:val="0094707F"/>
    <w:rPr>
      <w:i/>
      <w:szCs w:val="24"/>
      <w:lang w:eastAsia="en-US"/>
    </w:rPr>
  </w:style>
  <w:style w:type="character" w:styleId="Strk">
    <w:name w:val="Strong"/>
    <w:basedOn w:val="Standardskrifttypeiafsnit"/>
    <w:qFormat/>
    <w:rsid w:val="0094707F"/>
    <w:rPr>
      <w:b/>
      <w:bCs/>
    </w:rPr>
  </w:style>
  <w:style w:type="paragraph" w:customStyle="1" w:styleId="Overskrift10">
    <w:name w:val="Overskrift1"/>
    <w:basedOn w:val="Overskrift1"/>
    <w:next w:val="Normal"/>
    <w:qFormat/>
    <w:rsid w:val="0094707F"/>
    <w:pPr>
      <w:spacing w:line="276" w:lineRule="auto"/>
      <w:jc w:val="both"/>
      <w:outlineLvl w:val="9"/>
    </w:pPr>
    <w:rPr>
      <w:rFonts w:ascii="Cambria" w:eastAsia="Times New Roman" w:hAnsi="Cambria" w:cs="Times New Roman"/>
      <w:color w:val="365F91"/>
      <w:lang w:eastAsia="en-US"/>
    </w:rPr>
  </w:style>
  <w:style w:type="paragraph" w:styleId="Indholdsfortegnelse1">
    <w:name w:val="toc 1"/>
    <w:basedOn w:val="Normal"/>
    <w:next w:val="Normal"/>
    <w:autoRedefine/>
    <w:uiPriority w:val="39"/>
    <w:unhideWhenUsed/>
    <w:rsid w:val="0064569B"/>
    <w:pPr>
      <w:tabs>
        <w:tab w:val="left" w:pos="480"/>
        <w:tab w:val="right" w:leader="dot" w:pos="9629"/>
      </w:tabs>
      <w:jc w:val="both"/>
    </w:pPr>
    <w:rPr>
      <w:rFonts w:ascii="Trebuchet MS" w:hAnsi="Trebuchet MS"/>
      <w:b/>
      <w:smallCaps/>
      <w:noProof/>
      <w:color w:val="006699"/>
      <w:sz w:val="40"/>
      <w:szCs w:val="52"/>
      <w:lang w:eastAsia="en-US"/>
    </w:rPr>
  </w:style>
  <w:style w:type="paragraph" w:styleId="Indholdsfortegnelse2">
    <w:name w:val="toc 2"/>
    <w:basedOn w:val="Normal"/>
    <w:next w:val="Normal"/>
    <w:autoRedefine/>
    <w:uiPriority w:val="39"/>
    <w:unhideWhenUsed/>
    <w:rsid w:val="0094707F"/>
    <w:pPr>
      <w:tabs>
        <w:tab w:val="left" w:pos="880"/>
        <w:tab w:val="right" w:leader="dot" w:pos="9629"/>
      </w:tabs>
      <w:ind w:left="240"/>
      <w:jc w:val="both"/>
    </w:pPr>
    <w:rPr>
      <w:rFonts w:ascii="Times New Roman" w:hAnsi="Times New Roman"/>
      <w:smallCaps/>
      <w:sz w:val="24"/>
      <w:lang w:eastAsia="en-US"/>
    </w:rPr>
  </w:style>
  <w:style w:type="paragraph" w:styleId="Indholdsfortegnelse3">
    <w:name w:val="toc 3"/>
    <w:basedOn w:val="Normal"/>
    <w:next w:val="Normal"/>
    <w:autoRedefine/>
    <w:uiPriority w:val="39"/>
    <w:unhideWhenUsed/>
    <w:rsid w:val="0094707F"/>
    <w:pPr>
      <w:ind w:left="480"/>
      <w:jc w:val="both"/>
    </w:pPr>
    <w:rPr>
      <w:rFonts w:ascii="Times New Roman" w:hAnsi="Times New Roman"/>
      <w:sz w:val="20"/>
      <w:lang w:eastAsia="en-US"/>
    </w:rPr>
  </w:style>
  <w:style w:type="paragraph" w:styleId="Brdtekst2">
    <w:name w:val="Body Text 2"/>
    <w:basedOn w:val="Normal"/>
    <w:link w:val="Brdtekst2Tegn"/>
    <w:semiHidden/>
    <w:rsid w:val="0094707F"/>
    <w:pPr>
      <w:jc w:val="both"/>
    </w:pPr>
    <w:rPr>
      <w:rFonts w:ascii="Times New Roman" w:hAnsi="Times New Roman"/>
      <w:iCs/>
      <w:sz w:val="24"/>
      <w:lang w:eastAsia="en-US" w:bidi="en-US"/>
    </w:rPr>
  </w:style>
  <w:style w:type="character" w:customStyle="1" w:styleId="Brdtekst2Tegn">
    <w:name w:val="Brødtekst 2 Tegn"/>
    <w:basedOn w:val="Standardskrifttypeiafsnit"/>
    <w:link w:val="Brdtekst2"/>
    <w:semiHidden/>
    <w:rsid w:val="0094707F"/>
    <w:rPr>
      <w:iCs/>
      <w:sz w:val="24"/>
      <w:szCs w:val="24"/>
      <w:lang w:eastAsia="en-US" w:bidi="en-US"/>
    </w:rPr>
  </w:style>
  <w:style w:type="paragraph" w:styleId="Indholdsfortegnelse4">
    <w:name w:val="toc 4"/>
    <w:basedOn w:val="Normal"/>
    <w:next w:val="Normal"/>
    <w:autoRedefine/>
    <w:uiPriority w:val="39"/>
    <w:unhideWhenUsed/>
    <w:rsid w:val="0094707F"/>
    <w:pPr>
      <w:ind w:left="720"/>
      <w:jc w:val="both"/>
    </w:pPr>
    <w:rPr>
      <w:rFonts w:ascii="Times New Roman" w:hAnsi="Times New Roman"/>
      <w:smallCaps/>
      <w:sz w:val="20"/>
      <w:lang w:eastAsia="en-US"/>
    </w:rPr>
  </w:style>
  <w:style w:type="paragraph" w:styleId="Brdtekst">
    <w:name w:val="Body Text"/>
    <w:basedOn w:val="Normal"/>
    <w:link w:val="BrdtekstTegn"/>
    <w:uiPriority w:val="99"/>
    <w:semiHidden/>
    <w:unhideWhenUsed/>
    <w:rsid w:val="0094707F"/>
    <w:pPr>
      <w:spacing w:after="120"/>
      <w:jc w:val="both"/>
    </w:pPr>
    <w:rPr>
      <w:rFonts w:ascii="Times New Roman" w:hAnsi="Times New Roman"/>
      <w:sz w:val="24"/>
      <w:lang w:eastAsia="en-US"/>
    </w:rPr>
  </w:style>
  <w:style w:type="character" w:customStyle="1" w:styleId="BrdtekstTegn">
    <w:name w:val="Brødtekst Tegn"/>
    <w:basedOn w:val="Standardskrifttypeiafsnit"/>
    <w:link w:val="Brdtekst"/>
    <w:uiPriority w:val="99"/>
    <w:semiHidden/>
    <w:rsid w:val="0094707F"/>
    <w:rPr>
      <w:sz w:val="24"/>
      <w:szCs w:val="24"/>
      <w:lang w:eastAsia="en-US"/>
    </w:rPr>
  </w:style>
  <w:style w:type="character" w:customStyle="1" w:styleId="CitattekstTegnTegn">
    <w:name w:val="Citattekst Tegn Tegn"/>
    <w:basedOn w:val="Standardskrifttypeiafsnit"/>
    <w:rsid w:val="0094707F"/>
    <w:rPr>
      <w:rFonts w:ascii="Garamond" w:hAnsi="Garamond"/>
      <w:i/>
      <w:szCs w:val="24"/>
      <w:lang w:eastAsia="en-US"/>
    </w:rPr>
  </w:style>
  <w:style w:type="paragraph" w:customStyle="1" w:styleId="Farvetgitter-fremhvningsfarve13">
    <w:name w:val="Farvet gitter - fremhævningsfarve 13"/>
    <w:basedOn w:val="Normal"/>
    <w:next w:val="Normal"/>
    <w:link w:val="Farvetgitter-fremhvningsfarve1Tegn"/>
    <w:uiPriority w:val="29"/>
    <w:qFormat/>
    <w:rsid w:val="0094707F"/>
    <w:pPr>
      <w:ind w:left="720"/>
    </w:pPr>
    <w:rPr>
      <w:rFonts w:ascii="Times New Roman" w:hAnsi="Times New Roman"/>
      <w:i/>
      <w:sz w:val="20"/>
      <w:lang w:val="en-US" w:eastAsia="en-US" w:bidi="en-US"/>
    </w:rPr>
  </w:style>
  <w:style w:type="character" w:customStyle="1" w:styleId="Farvetgitter-fremhvningsfarve1Tegn">
    <w:name w:val="Farvet gitter - fremhævningsfarve 1 Tegn"/>
    <w:basedOn w:val="Standardskrifttypeiafsnit"/>
    <w:link w:val="Farvetgitter-fremhvningsfarve13"/>
    <w:uiPriority w:val="29"/>
    <w:rsid w:val="0094707F"/>
    <w:rPr>
      <w:i/>
      <w:szCs w:val="24"/>
      <w:lang w:val="en-US" w:eastAsia="en-US" w:bidi="en-US"/>
    </w:rPr>
  </w:style>
  <w:style w:type="character" w:customStyle="1" w:styleId="apple-style-span">
    <w:name w:val="apple-style-span"/>
    <w:basedOn w:val="Standardskrifttypeiafsnit"/>
    <w:rsid w:val="0094707F"/>
  </w:style>
  <w:style w:type="paragraph" w:customStyle="1" w:styleId="Citat1">
    <w:name w:val="Citat1"/>
    <w:basedOn w:val="Normal"/>
    <w:next w:val="Normal"/>
    <w:link w:val="QuoteChar"/>
    <w:uiPriority w:val="29"/>
    <w:qFormat/>
    <w:rsid w:val="0094707F"/>
    <w:pPr>
      <w:ind w:left="1304"/>
      <w:jc w:val="both"/>
    </w:pPr>
    <w:rPr>
      <w:rFonts w:ascii="Times New Roman" w:hAnsi="Times New Roman"/>
      <w:i/>
      <w:iCs/>
      <w:color w:val="000000"/>
      <w:sz w:val="20"/>
      <w:lang w:eastAsia="en-US"/>
    </w:rPr>
  </w:style>
  <w:style w:type="character" w:customStyle="1" w:styleId="QuoteChar">
    <w:name w:val="Quote Char"/>
    <w:basedOn w:val="Standardskrifttypeiafsnit"/>
    <w:link w:val="Citat1"/>
    <w:uiPriority w:val="29"/>
    <w:rsid w:val="0094707F"/>
    <w:rPr>
      <w:i/>
      <w:iCs/>
      <w:color w:val="000000"/>
      <w:szCs w:val="24"/>
      <w:lang w:eastAsia="en-US"/>
    </w:rPr>
  </w:style>
  <w:style w:type="paragraph" w:customStyle="1" w:styleId="Farvetliste-fremhvningsfarve11">
    <w:name w:val="Farvet liste - fremhævningsfarve 11"/>
    <w:basedOn w:val="Normal"/>
    <w:uiPriority w:val="34"/>
    <w:qFormat/>
    <w:rsid w:val="0094707F"/>
    <w:pPr>
      <w:ind w:left="1304"/>
      <w:jc w:val="both"/>
    </w:pPr>
    <w:rPr>
      <w:rFonts w:ascii="Times New Roman" w:hAnsi="Times New Roman"/>
      <w:sz w:val="24"/>
      <w:lang w:eastAsia="en-US"/>
    </w:rPr>
  </w:style>
  <w:style w:type="paragraph" w:customStyle="1" w:styleId="Farvetgitter-fremhvningsfarve11">
    <w:name w:val="Farvet gitter - fremhævningsfarve 11"/>
    <w:basedOn w:val="Normal"/>
    <w:next w:val="Normal"/>
    <w:uiPriority w:val="29"/>
    <w:qFormat/>
    <w:rsid w:val="0094707F"/>
    <w:pPr>
      <w:ind w:left="720"/>
    </w:pPr>
    <w:rPr>
      <w:rFonts w:ascii="Times New Roman" w:hAnsi="Times New Roman"/>
      <w:i/>
      <w:sz w:val="20"/>
      <w:lang w:val="en-US" w:eastAsia="en-US" w:bidi="en-US"/>
    </w:rPr>
  </w:style>
  <w:style w:type="character" w:customStyle="1" w:styleId="Farvetgitter-fremhvningsfarve1Tegn1">
    <w:name w:val="Farvet gitter - fremhævningsfarve 1 Tegn1"/>
    <w:basedOn w:val="Standardskrifttypeiafsnit"/>
    <w:link w:val="Farvetgitter-fremhvningsfarve12"/>
    <w:uiPriority w:val="29"/>
    <w:rsid w:val="0094707F"/>
    <w:rPr>
      <w:rFonts w:ascii="Garamond" w:hAnsi="Garamond"/>
      <w:i/>
      <w:iCs/>
      <w:color w:val="000000"/>
      <w:szCs w:val="24"/>
      <w:lang w:eastAsia="en-US"/>
    </w:rPr>
  </w:style>
  <w:style w:type="paragraph" w:customStyle="1" w:styleId="Farvetgitter-fremhvningsfarve12">
    <w:name w:val="Farvet gitter - fremhævningsfarve 12"/>
    <w:basedOn w:val="Normal"/>
    <w:next w:val="Normal"/>
    <w:link w:val="Farvetgitter-fremhvningsfarve1Tegn1"/>
    <w:uiPriority w:val="29"/>
    <w:qFormat/>
    <w:rsid w:val="0094707F"/>
    <w:pPr>
      <w:jc w:val="both"/>
    </w:pPr>
    <w:rPr>
      <w:rFonts w:ascii="Garamond" w:hAnsi="Garamond"/>
      <w:i/>
      <w:iCs/>
      <w:color w:val="000000"/>
      <w:sz w:val="20"/>
      <w:lang w:eastAsia="en-US"/>
    </w:rPr>
  </w:style>
  <w:style w:type="character" w:customStyle="1" w:styleId="Mediumgitter1-fremhvningsfarve4Tegn">
    <w:name w:val="Medium gitter 1 - fremhævningsfarve 4 Tegn"/>
    <w:basedOn w:val="Standardskrifttypeiafsnit"/>
    <w:link w:val="MediumGrid1-Accent4"/>
    <w:uiPriority w:val="29"/>
    <w:rsid w:val="0094707F"/>
    <w:rPr>
      <w:rFonts w:ascii="Garamond" w:hAnsi="Garamond"/>
      <w:i/>
      <w:iCs/>
      <w:color w:val="000000"/>
      <w:sz w:val="24"/>
      <w:szCs w:val="24"/>
      <w:lang w:eastAsia="en-US"/>
    </w:rPr>
  </w:style>
  <w:style w:type="table" w:customStyle="1" w:styleId="MediumGrid1-Accent4">
    <w:name w:val="Medium Grid 1 - Accent 4"/>
    <w:basedOn w:val="Tabel-Normal"/>
    <w:link w:val="Mediumgitter1-fremhvningsfarve4Tegn"/>
    <w:uiPriority w:val="29"/>
    <w:rsid w:val="0094707F"/>
    <w:rPr>
      <w:rFonts w:ascii="Garamond" w:hAnsi="Garamond"/>
      <w:i/>
      <w:iCs/>
      <w:color w:val="000000"/>
      <w:sz w:val="24"/>
      <w:szCs w:val="24"/>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character" w:customStyle="1" w:styleId="Farvetliste-fremhvningsfarve3Tegn">
    <w:name w:val="Farvet liste - fremhævningsfarve 3 Tegn"/>
    <w:basedOn w:val="Standardskrifttypeiafsnit"/>
    <w:link w:val="ColorfulList-Accent3"/>
    <w:uiPriority w:val="29"/>
    <w:rsid w:val="0094707F"/>
    <w:rPr>
      <w:rFonts w:ascii="Garamond" w:hAnsi="Garamond"/>
      <w:i/>
      <w:iCs/>
      <w:color w:val="000000"/>
      <w:sz w:val="24"/>
      <w:szCs w:val="24"/>
      <w:lang w:eastAsia="en-US"/>
    </w:rPr>
  </w:style>
  <w:style w:type="table" w:customStyle="1" w:styleId="ColorfulList-Accent3">
    <w:name w:val="Colorful List - Accent 3"/>
    <w:basedOn w:val="Tabel-Normal"/>
    <w:link w:val="Farvetliste-fremhvningsfarve3Tegn"/>
    <w:uiPriority w:val="29"/>
    <w:rsid w:val="0094707F"/>
    <w:rPr>
      <w:rFonts w:ascii="Garamond" w:hAnsi="Garamond"/>
      <w:i/>
      <w:iCs/>
      <w:color w:val="000000"/>
      <w:sz w:val="24"/>
      <w:szCs w:val="24"/>
      <w:lang w:eastAsia="en-US"/>
    </w:rPr>
    <w:tblPr>
      <w:tblStyleRowBandSize w:val="1"/>
      <w:tblStyleColBandSize w:val="1"/>
    </w:tblPr>
    <w:tcPr>
      <w:shd w:val="clear" w:color="auto" w:fill="F5F8EE"/>
    </w:tcPr>
    <w:tblStylePr w:type="firstRow">
      <w:tblPr/>
      <w:tcPr>
        <w:tcBorders>
          <w:bottom w:val="single" w:sz="12" w:space="0" w:color="FFFFFF"/>
        </w:tcBorders>
        <w:shd w:val="clear" w:color="auto" w:fill="664E8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character" w:customStyle="1" w:styleId="news-show-bodytext">
    <w:name w:val="news-show-bodytext"/>
    <w:basedOn w:val="Standardskrifttypeiafsnit"/>
    <w:rsid w:val="0094707F"/>
  </w:style>
  <w:style w:type="character" w:customStyle="1" w:styleId="CitatTegn1">
    <w:name w:val="Citat Tegn1"/>
    <w:basedOn w:val="Standardskrifttypeiafsnit"/>
    <w:uiPriority w:val="29"/>
    <w:rsid w:val="0094707F"/>
    <w:rPr>
      <w:rFonts w:ascii="Garamond" w:hAnsi="Garamond"/>
      <w:i/>
      <w:iCs/>
      <w:color w:val="000000"/>
      <w:sz w:val="24"/>
      <w:szCs w:val="24"/>
      <w:lang w:eastAsia="en-US"/>
    </w:rPr>
  </w:style>
  <w:style w:type="character" w:customStyle="1" w:styleId="Mediumgitter2-fremhvningsfarve2Tegn">
    <w:name w:val="Medium gitter 2 - fremhævningsfarve 2 Tegn"/>
    <w:basedOn w:val="Standardskrifttypeiafsnit"/>
    <w:link w:val="MediumGrid2-Accent2"/>
    <w:uiPriority w:val="29"/>
    <w:rsid w:val="0094707F"/>
    <w:rPr>
      <w:rFonts w:ascii="Garamond" w:hAnsi="Garamond"/>
      <w:i/>
      <w:iCs/>
      <w:color w:val="000000"/>
      <w:szCs w:val="24"/>
      <w:lang w:eastAsia="en-US"/>
    </w:rPr>
  </w:style>
  <w:style w:type="table" w:customStyle="1" w:styleId="MediumGrid2-Accent2">
    <w:name w:val="Medium Grid 2 - Accent 2"/>
    <w:basedOn w:val="Tabel-Normal"/>
    <w:link w:val="Mediumgitter2-fremhvningsfarve2Tegn"/>
    <w:uiPriority w:val="29"/>
    <w:rsid w:val="0094707F"/>
    <w:rPr>
      <w:rFonts w:ascii="Garamond" w:hAnsi="Garamond"/>
      <w:i/>
      <w:iCs/>
      <w:color w:val="000000"/>
      <w:szCs w:val="24"/>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paragraph" w:customStyle="1" w:styleId="TypografiKursiv">
    <w:name w:val="Typografi Kursiv"/>
    <w:basedOn w:val="Farvetgitter-fremhvningsfarve13"/>
    <w:rsid w:val="0094707F"/>
    <w:pPr>
      <w:ind w:left="1304"/>
      <w:jc w:val="both"/>
    </w:pPr>
    <w:rPr>
      <w:iCs/>
      <w:color w:val="000000"/>
      <w:lang w:val="da-DK" w:bidi="ar-SA"/>
    </w:rPr>
  </w:style>
  <w:style w:type="paragraph" w:customStyle="1" w:styleId="Listeafsnit1">
    <w:name w:val="Listeafsnit1"/>
    <w:basedOn w:val="Normal"/>
    <w:uiPriority w:val="34"/>
    <w:qFormat/>
    <w:rsid w:val="0094707F"/>
    <w:pPr>
      <w:ind w:left="720"/>
      <w:contextualSpacing/>
    </w:pPr>
    <w:rPr>
      <w:rFonts w:ascii="Cambria" w:eastAsia="Cambria" w:hAnsi="Cambria"/>
      <w:sz w:val="24"/>
      <w:lang w:eastAsia="en-US"/>
    </w:rPr>
  </w:style>
  <w:style w:type="paragraph" w:customStyle="1" w:styleId="Mediumgitter2-fremhvningsfarve21">
    <w:name w:val="Medium gitter 2 - fremhævningsfarve 21"/>
    <w:basedOn w:val="Normal"/>
    <w:next w:val="Normal"/>
    <w:uiPriority w:val="29"/>
    <w:qFormat/>
    <w:rsid w:val="0094707F"/>
    <w:pPr>
      <w:jc w:val="both"/>
    </w:pPr>
    <w:rPr>
      <w:rFonts w:ascii="Times New Roman" w:hAnsi="Times New Roman"/>
      <w:i/>
      <w:iCs/>
      <w:color w:val="000000"/>
      <w:sz w:val="20"/>
      <w:lang w:eastAsia="en-US"/>
    </w:rPr>
  </w:style>
  <w:style w:type="paragraph" w:customStyle="1" w:styleId="Mediumgitter1-fremhvningsfarve21">
    <w:name w:val="Medium gitter 1 - fremhævningsfarve 21"/>
    <w:basedOn w:val="Normal"/>
    <w:uiPriority w:val="34"/>
    <w:qFormat/>
    <w:rsid w:val="0094707F"/>
    <w:pPr>
      <w:ind w:left="720"/>
      <w:contextualSpacing/>
    </w:pPr>
    <w:rPr>
      <w:rFonts w:ascii="Calibri" w:hAnsi="Calibri"/>
      <w:sz w:val="24"/>
      <w:lang w:val="en-US" w:eastAsia="en-US" w:bidi="en-US"/>
    </w:rPr>
  </w:style>
  <w:style w:type="character" w:customStyle="1" w:styleId="Farvetgitter-fremhvningsfarve1Tegn2">
    <w:name w:val="Farvet gitter - fremhævningsfarve 1 Tegn2"/>
    <w:basedOn w:val="Standardskrifttypeiafsnit"/>
    <w:link w:val="ColorfulGrid-Accent1"/>
    <w:uiPriority w:val="29"/>
    <w:rsid w:val="0094707F"/>
    <w:rPr>
      <w:rFonts w:ascii="Garamond" w:hAnsi="Garamond"/>
      <w:i/>
      <w:iCs/>
      <w:color w:val="000000"/>
      <w:szCs w:val="24"/>
      <w:lang w:eastAsia="en-US"/>
    </w:rPr>
  </w:style>
  <w:style w:type="table" w:customStyle="1" w:styleId="ColorfulGrid-Accent1">
    <w:name w:val="Colorful Grid - Accent 1"/>
    <w:basedOn w:val="Tabel-Normal"/>
    <w:link w:val="Farvetgitter-fremhvningsfarve1Tegn2"/>
    <w:uiPriority w:val="29"/>
    <w:rsid w:val="0094707F"/>
    <w:rPr>
      <w:rFonts w:ascii="Garamond" w:hAnsi="Garamond"/>
      <w:i/>
      <w:iCs/>
      <w:color w:val="000000"/>
      <w:szCs w:val="24"/>
      <w:lang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Grid-Accent5">
    <w:name w:val="Light Grid - Accent 5"/>
    <w:basedOn w:val="Tabel-Normal"/>
    <w:uiPriority w:val="29"/>
    <w:rsid w:val="0094707F"/>
    <w:rPr>
      <w:rFonts w:ascii="Garamond" w:hAnsi="Garamond"/>
      <w:i/>
      <w:iCs/>
      <w:color w:val="000000"/>
      <w:sz w:val="24"/>
      <w:szCs w:val="24"/>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table" w:customStyle="1" w:styleId="MediumShading1-Accent3">
    <w:name w:val="Medium Shading 1 - Accent 3"/>
    <w:basedOn w:val="Tabel-Normal"/>
    <w:uiPriority w:val="29"/>
    <w:rsid w:val="0094707F"/>
    <w:rPr>
      <w:rFonts w:ascii="Garamond" w:hAnsi="Garamond"/>
      <w:i/>
      <w:iCs/>
      <w:color w:val="000000"/>
      <w:szCs w:val="24"/>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Tabel-Gitter">
    <w:name w:val="Table Grid"/>
    <w:basedOn w:val="Tabel-Normal"/>
    <w:rsid w:val="0094707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94707F"/>
  </w:style>
  <w:style w:type="paragraph" w:customStyle="1" w:styleId="TypografiOverskrift3TrebuchetMS14pktLinjeafstandenkelt">
    <w:name w:val="Typografi Overskrift 3 + Trebuchet MS 14 pkt Linjeafstand:  enkelt"/>
    <w:basedOn w:val="Overskrift3"/>
    <w:rsid w:val="0094707F"/>
    <w:pPr>
      <w:numPr>
        <w:ilvl w:val="2"/>
      </w:numPr>
      <w:spacing w:before="0" w:after="0"/>
      <w:ind w:left="720" w:hanging="720"/>
    </w:pPr>
    <w:rPr>
      <w:rFonts w:ascii="Trebuchet MS" w:hAnsi="Trebuchet MS" w:cs="Times New Roman"/>
      <w:sz w:val="28"/>
      <w:szCs w:val="20"/>
    </w:rPr>
  </w:style>
  <w:style w:type="paragraph" w:customStyle="1" w:styleId="TypografiTypografiOverskrift3TrebuchetMS14pktLinjeafstande">
    <w:name w:val="Typografi Typografi Overskrift 3 + Trebuchet MS 14 pkt Linjeafstand:  e..."/>
    <w:basedOn w:val="TypografiOverskrift3TrebuchetMS14pktLinjeafstandenkelt"/>
    <w:rsid w:val="0094707F"/>
    <w:pPr>
      <w:jc w:val="right"/>
    </w:pPr>
  </w:style>
  <w:style w:type="paragraph" w:customStyle="1" w:styleId="SidehovedSTOR">
    <w:name w:val="Sidehoved STOR"/>
    <w:basedOn w:val="Sidehoved"/>
    <w:rsid w:val="0094707F"/>
    <w:pPr>
      <w:tabs>
        <w:tab w:val="clear" w:pos="4819"/>
        <w:tab w:val="clear" w:pos="9638"/>
        <w:tab w:val="center" w:pos="4320"/>
        <w:tab w:val="right" w:pos="8640"/>
      </w:tabs>
      <w:jc w:val="left"/>
    </w:pPr>
    <w:rPr>
      <w:b/>
      <w:szCs w:val="16"/>
      <w:lang w:val="en-US"/>
    </w:rPr>
  </w:style>
  <w:style w:type="paragraph" w:customStyle="1" w:styleId="xl24">
    <w:name w:val="xl24"/>
    <w:basedOn w:val="Normal"/>
    <w:rsid w:val="0094707F"/>
    <w:pPr>
      <w:shd w:val="clear" w:color="auto" w:fill="FFFFFF"/>
      <w:spacing w:before="100" w:beforeAutospacing="1" w:after="100" w:afterAutospacing="1"/>
    </w:pPr>
    <w:rPr>
      <w:rFonts w:cs="Arial"/>
      <w:b/>
      <w:bCs/>
      <w:sz w:val="16"/>
      <w:szCs w:val="16"/>
    </w:rPr>
  </w:style>
  <w:style w:type="paragraph" w:customStyle="1" w:styleId="xl25">
    <w:name w:val="xl25"/>
    <w:basedOn w:val="Normal"/>
    <w:rsid w:val="0094707F"/>
    <w:pPr>
      <w:shd w:val="clear" w:color="auto" w:fill="FFFFFF"/>
      <w:spacing w:before="100" w:beforeAutospacing="1" w:after="100" w:afterAutospacing="1"/>
      <w:jc w:val="center"/>
      <w:textAlignment w:val="center"/>
    </w:pPr>
    <w:rPr>
      <w:rFonts w:cs="Arial"/>
      <w:color w:val="000000"/>
      <w:sz w:val="16"/>
      <w:szCs w:val="16"/>
    </w:rPr>
  </w:style>
  <w:style w:type="paragraph" w:customStyle="1" w:styleId="xl26">
    <w:name w:val="xl26"/>
    <w:basedOn w:val="Normal"/>
    <w:rsid w:val="0094707F"/>
    <w:pPr>
      <w:shd w:val="clear" w:color="auto" w:fill="FFFFFF"/>
      <w:spacing w:before="100" w:beforeAutospacing="1" w:after="100" w:afterAutospacing="1"/>
      <w:jc w:val="center"/>
      <w:textAlignment w:val="center"/>
    </w:pPr>
    <w:rPr>
      <w:rFonts w:cs="Arial"/>
      <w:color w:val="000000"/>
      <w:sz w:val="16"/>
      <w:szCs w:val="16"/>
    </w:rPr>
  </w:style>
  <w:style w:type="paragraph" w:customStyle="1" w:styleId="xl27">
    <w:name w:val="xl27"/>
    <w:basedOn w:val="Normal"/>
    <w:rsid w:val="0094707F"/>
    <w:pPr>
      <w:shd w:val="clear" w:color="auto" w:fill="FFFFFF"/>
      <w:spacing w:before="100" w:beforeAutospacing="1" w:after="100" w:afterAutospacing="1"/>
    </w:pPr>
    <w:rPr>
      <w:rFonts w:cs="Arial"/>
      <w:sz w:val="16"/>
      <w:szCs w:val="16"/>
    </w:rPr>
  </w:style>
  <w:style w:type="paragraph" w:customStyle="1" w:styleId="xl28">
    <w:name w:val="xl28"/>
    <w:basedOn w:val="Normal"/>
    <w:rsid w:val="0094707F"/>
    <w:pPr>
      <w:shd w:val="clear" w:color="auto" w:fill="FFFFFF"/>
      <w:spacing w:before="100" w:beforeAutospacing="1" w:after="100" w:afterAutospacing="1"/>
      <w:jc w:val="center"/>
    </w:pPr>
    <w:rPr>
      <w:rFonts w:cs="Arial"/>
      <w:sz w:val="16"/>
      <w:szCs w:val="16"/>
    </w:rPr>
  </w:style>
  <w:style w:type="paragraph" w:customStyle="1" w:styleId="xl29">
    <w:name w:val="xl29"/>
    <w:basedOn w:val="Normal"/>
    <w:rsid w:val="0094707F"/>
    <w:pPr>
      <w:pBdr>
        <w:bottom w:val="single" w:sz="4" w:space="0" w:color="auto"/>
      </w:pBdr>
      <w:shd w:val="clear" w:color="auto" w:fill="FFFFFF"/>
      <w:spacing w:before="100" w:beforeAutospacing="1" w:after="100" w:afterAutospacing="1"/>
      <w:jc w:val="center"/>
      <w:textAlignment w:val="center"/>
    </w:pPr>
    <w:rPr>
      <w:rFonts w:cs="Arial"/>
      <w:b/>
      <w:bCs/>
      <w:color w:val="000000"/>
      <w:sz w:val="16"/>
      <w:szCs w:val="16"/>
    </w:rPr>
  </w:style>
  <w:style w:type="paragraph" w:customStyle="1" w:styleId="xl30">
    <w:name w:val="xl30"/>
    <w:basedOn w:val="Normal"/>
    <w:rsid w:val="0094707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cs="Arial"/>
      <w:b/>
      <w:bCs/>
      <w:color w:val="000000"/>
      <w:sz w:val="16"/>
      <w:szCs w:val="16"/>
    </w:rPr>
  </w:style>
  <w:style w:type="paragraph" w:customStyle="1" w:styleId="xl31">
    <w:name w:val="xl31"/>
    <w:basedOn w:val="Normal"/>
    <w:rsid w:val="0094707F"/>
    <w:pPr>
      <w:pBdr>
        <w:top w:val="single" w:sz="4" w:space="0" w:color="auto"/>
        <w:bottom w:val="single" w:sz="4" w:space="0" w:color="auto"/>
      </w:pBdr>
      <w:shd w:val="clear" w:color="auto" w:fill="FFFFFF"/>
      <w:spacing w:before="100" w:beforeAutospacing="1" w:after="100" w:afterAutospacing="1"/>
      <w:jc w:val="center"/>
    </w:pPr>
    <w:rPr>
      <w:rFonts w:cs="Arial"/>
      <w:b/>
      <w:bCs/>
      <w:sz w:val="16"/>
      <w:szCs w:val="16"/>
    </w:rPr>
  </w:style>
  <w:style w:type="paragraph" w:customStyle="1" w:styleId="xl32">
    <w:name w:val="xl32"/>
    <w:basedOn w:val="Normal"/>
    <w:rsid w:val="0094707F"/>
    <w:pPr>
      <w:pBdr>
        <w:top w:val="single" w:sz="4" w:space="0" w:color="auto"/>
      </w:pBdr>
      <w:shd w:val="clear" w:color="auto" w:fill="FFFFFF"/>
      <w:spacing w:before="100" w:beforeAutospacing="1" w:after="100" w:afterAutospacing="1"/>
      <w:textAlignment w:val="center"/>
    </w:pPr>
    <w:rPr>
      <w:rFonts w:cs="Arial"/>
      <w:b/>
      <w:bCs/>
      <w:color w:val="000000"/>
      <w:sz w:val="16"/>
      <w:szCs w:val="16"/>
    </w:rPr>
  </w:style>
  <w:style w:type="paragraph" w:customStyle="1" w:styleId="xl33">
    <w:name w:val="xl33"/>
    <w:basedOn w:val="Normal"/>
    <w:rsid w:val="0094707F"/>
    <w:pPr>
      <w:pBdr>
        <w:top w:val="single" w:sz="4" w:space="0" w:color="auto"/>
      </w:pBdr>
      <w:shd w:val="clear" w:color="auto" w:fill="FFFFFF"/>
      <w:spacing w:before="100" w:beforeAutospacing="1" w:after="100" w:afterAutospacing="1"/>
    </w:pPr>
    <w:rPr>
      <w:rFonts w:cs="Arial"/>
      <w:b/>
      <w:bCs/>
      <w:sz w:val="16"/>
      <w:szCs w:val="16"/>
    </w:rPr>
  </w:style>
  <w:style w:type="paragraph" w:customStyle="1" w:styleId="xl34">
    <w:name w:val="xl34"/>
    <w:basedOn w:val="Normal"/>
    <w:rsid w:val="0094707F"/>
    <w:pPr>
      <w:shd w:val="clear" w:color="auto" w:fill="FFFFFF"/>
      <w:spacing w:before="100" w:beforeAutospacing="1" w:after="100" w:afterAutospacing="1"/>
      <w:jc w:val="right"/>
      <w:textAlignment w:val="center"/>
    </w:pPr>
    <w:rPr>
      <w:rFonts w:cs="Arial"/>
      <w:color w:val="000000"/>
      <w:sz w:val="16"/>
      <w:szCs w:val="16"/>
    </w:rPr>
  </w:style>
  <w:style w:type="paragraph" w:customStyle="1" w:styleId="xl35">
    <w:name w:val="xl35"/>
    <w:basedOn w:val="Normal"/>
    <w:rsid w:val="0094707F"/>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cs="Arial"/>
      <w:b/>
      <w:bCs/>
      <w:sz w:val="16"/>
      <w:szCs w:val="16"/>
    </w:rPr>
  </w:style>
  <w:style w:type="paragraph" w:customStyle="1" w:styleId="xl36">
    <w:name w:val="xl36"/>
    <w:basedOn w:val="Normal"/>
    <w:rsid w:val="0094707F"/>
    <w:pPr>
      <w:pBdr>
        <w:right w:val="single" w:sz="4" w:space="0" w:color="auto"/>
      </w:pBdr>
      <w:shd w:val="clear" w:color="auto" w:fill="FFFFFF"/>
      <w:spacing w:before="100" w:beforeAutospacing="1" w:after="100" w:afterAutospacing="1"/>
      <w:jc w:val="right"/>
      <w:textAlignment w:val="center"/>
    </w:pPr>
    <w:rPr>
      <w:rFonts w:cs="Arial"/>
      <w:color w:val="000000"/>
      <w:sz w:val="16"/>
      <w:szCs w:val="16"/>
    </w:rPr>
  </w:style>
  <w:style w:type="paragraph" w:customStyle="1" w:styleId="xl37">
    <w:name w:val="xl37"/>
    <w:basedOn w:val="Normal"/>
    <w:rsid w:val="0094707F"/>
    <w:pPr>
      <w:pBdr>
        <w:top w:val="single" w:sz="4" w:space="0" w:color="auto"/>
      </w:pBdr>
      <w:shd w:val="clear" w:color="auto" w:fill="FFFFFF"/>
      <w:spacing w:before="100" w:beforeAutospacing="1" w:after="100" w:afterAutospacing="1"/>
      <w:jc w:val="center"/>
      <w:textAlignment w:val="center"/>
    </w:pPr>
    <w:rPr>
      <w:rFonts w:cs="Arial"/>
      <w:color w:val="000000"/>
      <w:sz w:val="16"/>
      <w:szCs w:val="16"/>
    </w:rPr>
  </w:style>
  <w:style w:type="paragraph" w:customStyle="1" w:styleId="xl38">
    <w:name w:val="xl38"/>
    <w:basedOn w:val="Normal"/>
    <w:rsid w:val="0094707F"/>
    <w:pPr>
      <w:pBdr>
        <w:top w:val="single" w:sz="4" w:space="0" w:color="auto"/>
      </w:pBdr>
      <w:shd w:val="clear" w:color="auto" w:fill="FFFFFF"/>
      <w:spacing w:before="100" w:beforeAutospacing="1" w:after="100" w:afterAutospacing="1"/>
    </w:pPr>
    <w:rPr>
      <w:rFonts w:cs="Arial"/>
      <w:sz w:val="16"/>
      <w:szCs w:val="16"/>
    </w:rPr>
  </w:style>
  <w:style w:type="paragraph" w:customStyle="1" w:styleId="xl39">
    <w:name w:val="xl39"/>
    <w:basedOn w:val="Normal"/>
    <w:rsid w:val="0094707F"/>
    <w:pPr>
      <w:pBdr>
        <w:left w:val="single" w:sz="4" w:space="0" w:color="auto"/>
        <w:right w:val="single" w:sz="4" w:space="0" w:color="auto"/>
      </w:pBdr>
      <w:shd w:val="clear" w:color="auto" w:fill="FFFFFF"/>
      <w:spacing w:before="100" w:beforeAutospacing="1" w:after="100" w:afterAutospacing="1"/>
      <w:jc w:val="right"/>
      <w:textAlignment w:val="center"/>
    </w:pPr>
    <w:rPr>
      <w:rFonts w:cs="Arial"/>
      <w:color w:val="000000"/>
      <w:sz w:val="16"/>
      <w:szCs w:val="16"/>
    </w:rPr>
  </w:style>
  <w:style w:type="paragraph" w:customStyle="1" w:styleId="xl40">
    <w:name w:val="xl40"/>
    <w:basedOn w:val="Normal"/>
    <w:rsid w:val="0094707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cs="Arial"/>
      <w:b/>
      <w:bCs/>
      <w:color w:val="000000"/>
      <w:sz w:val="16"/>
      <w:szCs w:val="16"/>
    </w:rPr>
  </w:style>
  <w:style w:type="paragraph" w:customStyle="1" w:styleId="xl41">
    <w:name w:val="xl41"/>
    <w:basedOn w:val="Normal"/>
    <w:rsid w:val="0094707F"/>
    <w:pPr>
      <w:pBdr>
        <w:top w:val="single" w:sz="4" w:space="0" w:color="auto"/>
        <w:bottom w:val="single" w:sz="4" w:space="0" w:color="auto"/>
      </w:pBdr>
      <w:shd w:val="clear" w:color="auto" w:fill="FFFFFF"/>
      <w:spacing w:before="100" w:beforeAutospacing="1" w:after="100" w:afterAutospacing="1"/>
      <w:jc w:val="right"/>
      <w:textAlignment w:val="center"/>
    </w:pPr>
    <w:rPr>
      <w:rFonts w:cs="Arial"/>
      <w:b/>
      <w:bCs/>
      <w:color w:val="000000"/>
      <w:sz w:val="16"/>
      <w:szCs w:val="16"/>
    </w:rPr>
  </w:style>
  <w:style w:type="paragraph" w:customStyle="1" w:styleId="xl42">
    <w:name w:val="xl42"/>
    <w:basedOn w:val="Normal"/>
    <w:rsid w:val="0094707F"/>
    <w:pPr>
      <w:pBdr>
        <w:top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cs="Arial"/>
      <w:b/>
      <w:bCs/>
      <w:color w:val="000000"/>
      <w:sz w:val="16"/>
      <w:szCs w:val="16"/>
    </w:rPr>
  </w:style>
  <w:style w:type="paragraph" w:customStyle="1" w:styleId="xl43">
    <w:name w:val="xl43"/>
    <w:basedOn w:val="Normal"/>
    <w:rsid w:val="0094707F"/>
    <w:pPr>
      <w:pBdr>
        <w:top w:val="single" w:sz="4" w:space="0" w:color="auto"/>
        <w:left w:val="single" w:sz="4" w:space="0" w:color="auto"/>
      </w:pBdr>
      <w:shd w:val="clear" w:color="auto" w:fill="FFFFFF"/>
      <w:spacing w:before="100" w:beforeAutospacing="1" w:after="100" w:afterAutospacing="1"/>
    </w:pPr>
    <w:rPr>
      <w:rFonts w:cs="Arial"/>
      <w:sz w:val="16"/>
      <w:szCs w:val="16"/>
    </w:rPr>
  </w:style>
  <w:style w:type="paragraph" w:customStyle="1" w:styleId="xl44">
    <w:name w:val="xl44"/>
    <w:basedOn w:val="Normal"/>
    <w:rsid w:val="0094707F"/>
    <w:pPr>
      <w:pBdr>
        <w:left w:val="single" w:sz="4" w:space="0" w:color="auto"/>
      </w:pBdr>
      <w:shd w:val="clear" w:color="auto" w:fill="FFFFFF"/>
      <w:spacing w:before="100" w:beforeAutospacing="1" w:after="100" w:afterAutospacing="1"/>
      <w:jc w:val="center"/>
      <w:textAlignment w:val="center"/>
    </w:pPr>
    <w:rPr>
      <w:rFonts w:cs="Arial"/>
      <w:color w:val="000000"/>
      <w:sz w:val="16"/>
      <w:szCs w:val="16"/>
    </w:rPr>
  </w:style>
  <w:style w:type="paragraph" w:customStyle="1" w:styleId="xl45">
    <w:name w:val="xl45"/>
    <w:basedOn w:val="Normal"/>
    <w:rsid w:val="0094707F"/>
    <w:pPr>
      <w:pBdr>
        <w:left w:val="single" w:sz="4" w:space="0" w:color="auto"/>
        <w:bottom w:val="single" w:sz="4" w:space="0" w:color="auto"/>
      </w:pBdr>
      <w:shd w:val="clear" w:color="auto" w:fill="FFFFFF"/>
      <w:spacing w:before="100" w:beforeAutospacing="1" w:after="100" w:afterAutospacing="1"/>
      <w:jc w:val="center"/>
      <w:textAlignment w:val="center"/>
    </w:pPr>
    <w:rPr>
      <w:rFonts w:cs="Arial"/>
      <w:b/>
      <w:bCs/>
      <w:sz w:val="16"/>
      <w:szCs w:val="16"/>
    </w:rPr>
  </w:style>
  <w:style w:type="paragraph" w:customStyle="1" w:styleId="xl46">
    <w:name w:val="xl46"/>
    <w:basedOn w:val="Normal"/>
    <w:rsid w:val="0094707F"/>
    <w:pPr>
      <w:pBdr>
        <w:left w:val="single" w:sz="4" w:space="0" w:color="auto"/>
      </w:pBdr>
      <w:shd w:val="clear" w:color="auto" w:fill="FFFFFF"/>
      <w:spacing w:before="100" w:beforeAutospacing="1" w:after="100" w:afterAutospacing="1"/>
      <w:jc w:val="center"/>
      <w:textAlignment w:val="center"/>
    </w:pPr>
    <w:rPr>
      <w:rFonts w:cs="Arial"/>
      <w:b/>
      <w:bCs/>
      <w:sz w:val="16"/>
      <w:szCs w:val="16"/>
    </w:rPr>
  </w:style>
  <w:style w:type="paragraph" w:customStyle="1" w:styleId="xl47">
    <w:name w:val="xl47"/>
    <w:basedOn w:val="Normal"/>
    <w:rsid w:val="0094707F"/>
    <w:pPr>
      <w:pBdr>
        <w:bottom w:val="single" w:sz="4" w:space="0" w:color="auto"/>
        <w:right w:val="single" w:sz="4" w:space="0" w:color="auto"/>
      </w:pBdr>
      <w:shd w:val="clear" w:color="auto" w:fill="FFFFFF"/>
      <w:spacing w:before="100" w:beforeAutospacing="1" w:after="100" w:afterAutospacing="1"/>
      <w:jc w:val="center"/>
      <w:textAlignment w:val="center"/>
    </w:pPr>
    <w:rPr>
      <w:rFonts w:cs="Arial"/>
      <w:b/>
      <w:bCs/>
      <w:color w:val="000000"/>
      <w:sz w:val="16"/>
      <w:szCs w:val="16"/>
    </w:rPr>
  </w:style>
  <w:style w:type="paragraph" w:customStyle="1" w:styleId="xl48">
    <w:name w:val="xl48"/>
    <w:basedOn w:val="Normal"/>
    <w:rsid w:val="0094707F"/>
    <w:pPr>
      <w:pBdr>
        <w:top w:val="single" w:sz="4" w:space="0" w:color="auto"/>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49">
    <w:name w:val="xl49"/>
    <w:basedOn w:val="Normal"/>
    <w:rsid w:val="0094707F"/>
    <w:pPr>
      <w:pBdr>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50">
    <w:name w:val="xl50"/>
    <w:basedOn w:val="Normal"/>
    <w:rsid w:val="0094707F"/>
    <w:pPr>
      <w:pBdr>
        <w:top w:val="single" w:sz="4" w:space="0" w:color="auto"/>
      </w:pBdr>
      <w:shd w:val="clear" w:color="auto" w:fill="FFFFFF"/>
      <w:spacing w:before="100" w:beforeAutospacing="1" w:after="100" w:afterAutospacing="1"/>
      <w:jc w:val="center"/>
    </w:pPr>
    <w:rPr>
      <w:rFonts w:cs="Arial"/>
      <w:sz w:val="16"/>
      <w:szCs w:val="16"/>
    </w:rPr>
  </w:style>
  <w:style w:type="paragraph" w:customStyle="1" w:styleId="xl51">
    <w:name w:val="xl51"/>
    <w:basedOn w:val="Normal"/>
    <w:rsid w:val="0094707F"/>
    <w:pPr>
      <w:pBdr>
        <w:top w:val="single" w:sz="4" w:space="0" w:color="auto"/>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52">
    <w:name w:val="xl52"/>
    <w:basedOn w:val="Normal"/>
    <w:rsid w:val="0094707F"/>
    <w:pPr>
      <w:pBdr>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53">
    <w:name w:val="xl53"/>
    <w:basedOn w:val="Normal"/>
    <w:rsid w:val="0094707F"/>
    <w:pPr>
      <w:pBdr>
        <w:top w:val="single" w:sz="4" w:space="0" w:color="auto"/>
      </w:pBdr>
      <w:shd w:val="clear" w:color="auto" w:fill="FFFFFF"/>
      <w:spacing w:before="100" w:beforeAutospacing="1" w:after="100" w:afterAutospacing="1"/>
      <w:jc w:val="center"/>
    </w:pPr>
    <w:rPr>
      <w:rFonts w:cs="Arial"/>
      <w:sz w:val="16"/>
      <w:szCs w:val="16"/>
    </w:rPr>
  </w:style>
  <w:style w:type="paragraph" w:customStyle="1" w:styleId="xl54">
    <w:name w:val="xl54"/>
    <w:basedOn w:val="Normal"/>
    <w:rsid w:val="0094707F"/>
    <w:pPr>
      <w:pBdr>
        <w:right w:val="single" w:sz="4" w:space="0" w:color="auto"/>
      </w:pBdr>
      <w:shd w:val="clear" w:color="auto" w:fill="FFFFFF"/>
      <w:spacing w:before="100" w:beforeAutospacing="1" w:after="100" w:afterAutospacing="1"/>
      <w:jc w:val="center"/>
    </w:pPr>
    <w:rPr>
      <w:rFonts w:cs="Arial"/>
      <w:sz w:val="16"/>
      <w:szCs w:val="16"/>
    </w:rPr>
  </w:style>
  <w:style w:type="paragraph" w:customStyle="1" w:styleId="xl55">
    <w:name w:val="xl55"/>
    <w:basedOn w:val="Normal"/>
    <w:rsid w:val="0094707F"/>
    <w:pPr>
      <w:pBdr>
        <w:top w:val="single" w:sz="4" w:space="0" w:color="auto"/>
      </w:pBdr>
      <w:shd w:val="clear" w:color="auto" w:fill="FFFFFF"/>
      <w:spacing w:before="100" w:beforeAutospacing="1" w:after="100" w:afterAutospacing="1"/>
      <w:jc w:val="center"/>
    </w:pPr>
    <w:rPr>
      <w:rFonts w:cs="Arial"/>
      <w:sz w:val="16"/>
      <w:szCs w:val="16"/>
    </w:rPr>
  </w:style>
  <w:style w:type="paragraph" w:customStyle="1" w:styleId="xl56">
    <w:name w:val="xl56"/>
    <w:basedOn w:val="Normal"/>
    <w:rsid w:val="0094707F"/>
    <w:pPr>
      <w:pBdr>
        <w:bottom w:val="single" w:sz="4" w:space="0" w:color="auto"/>
        <w:right w:val="single" w:sz="4" w:space="0" w:color="auto"/>
      </w:pBdr>
      <w:shd w:val="clear" w:color="auto" w:fill="FFFFFF"/>
      <w:spacing w:before="100" w:beforeAutospacing="1" w:after="100" w:afterAutospacing="1"/>
      <w:jc w:val="center"/>
      <w:textAlignment w:val="center"/>
    </w:pPr>
    <w:rPr>
      <w:rFonts w:cs="Arial"/>
      <w:b/>
      <w:bCs/>
      <w:color w:val="000000"/>
      <w:sz w:val="16"/>
      <w:szCs w:val="16"/>
    </w:rPr>
  </w:style>
  <w:style w:type="paragraph" w:customStyle="1" w:styleId="xl57">
    <w:name w:val="xl57"/>
    <w:basedOn w:val="Normal"/>
    <w:rsid w:val="0094707F"/>
    <w:pPr>
      <w:pBdr>
        <w:left w:val="single" w:sz="4" w:space="0" w:color="auto"/>
        <w:right w:val="single" w:sz="4" w:space="0" w:color="auto"/>
      </w:pBdr>
      <w:shd w:val="clear" w:color="auto" w:fill="FFFFFF"/>
      <w:spacing w:before="100" w:beforeAutospacing="1" w:after="100" w:afterAutospacing="1"/>
      <w:jc w:val="right"/>
      <w:textAlignment w:val="center"/>
    </w:pPr>
    <w:rPr>
      <w:rFonts w:cs="Arial"/>
      <w:color w:val="000000"/>
      <w:sz w:val="16"/>
      <w:szCs w:val="16"/>
    </w:rPr>
  </w:style>
  <w:style w:type="paragraph" w:customStyle="1" w:styleId="xl58">
    <w:name w:val="xl58"/>
    <w:basedOn w:val="Normal"/>
    <w:rsid w:val="0094707F"/>
    <w:pPr>
      <w:pBdr>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cs="Arial"/>
      <w:color w:val="000000"/>
      <w:sz w:val="16"/>
      <w:szCs w:val="16"/>
    </w:rPr>
  </w:style>
  <w:style w:type="paragraph" w:customStyle="1" w:styleId="xl59">
    <w:name w:val="xl59"/>
    <w:basedOn w:val="Normal"/>
    <w:rsid w:val="0094707F"/>
    <w:pPr>
      <w:pBdr>
        <w:bottom w:val="single" w:sz="4" w:space="0" w:color="auto"/>
      </w:pBdr>
      <w:shd w:val="clear" w:color="auto" w:fill="FFFFFF"/>
      <w:spacing w:before="100" w:beforeAutospacing="1" w:after="100" w:afterAutospacing="1"/>
      <w:jc w:val="center"/>
      <w:textAlignment w:val="center"/>
    </w:pPr>
    <w:rPr>
      <w:rFonts w:cs="Arial"/>
      <w:color w:val="000000"/>
      <w:sz w:val="16"/>
      <w:szCs w:val="16"/>
    </w:rPr>
  </w:style>
  <w:style w:type="paragraph" w:customStyle="1" w:styleId="xl60">
    <w:name w:val="xl60"/>
    <w:basedOn w:val="Normal"/>
    <w:rsid w:val="0094707F"/>
    <w:pPr>
      <w:pBdr>
        <w:top w:val="single" w:sz="4" w:space="0" w:color="auto"/>
      </w:pBdr>
      <w:shd w:val="clear" w:color="auto" w:fill="FFFFFF"/>
      <w:spacing w:before="100" w:beforeAutospacing="1" w:after="100" w:afterAutospacing="1"/>
      <w:textAlignment w:val="center"/>
    </w:pPr>
    <w:rPr>
      <w:rFonts w:cs="Arial"/>
      <w:b/>
      <w:bCs/>
      <w:color w:val="000000"/>
      <w:sz w:val="16"/>
      <w:szCs w:val="16"/>
    </w:rPr>
  </w:style>
  <w:style w:type="paragraph" w:styleId="Slutnotetekst">
    <w:name w:val="endnote text"/>
    <w:basedOn w:val="Normal"/>
    <w:link w:val="SlutnotetekstTegn"/>
    <w:semiHidden/>
    <w:rsid w:val="0094707F"/>
    <w:pPr>
      <w:jc w:val="both"/>
    </w:pPr>
    <w:rPr>
      <w:rFonts w:ascii="Times New Roman" w:hAnsi="Times New Roman"/>
      <w:sz w:val="20"/>
      <w:szCs w:val="20"/>
      <w:lang w:eastAsia="en-US"/>
    </w:rPr>
  </w:style>
  <w:style w:type="character" w:customStyle="1" w:styleId="SlutnotetekstTegn">
    <w:name w:val="Slutnotetekst Tegn"/>
    <w:basedOn w:val="Standardskrifttypeiafsnit"/>
    <w:link w:val="Slutnotetekst"/>
    <w:semiHidden/>
    <w:rsid w:val="0094707F"/>
    <w:rPr>
      <w:lang w:eastAsia="en-US"/>
    </w:rPr>
  </w:style>
  <w:style w:type="character" w:styleId="Slutnotehenvisning">
    <w:name w:val="endnote reference"/>
    <w:basedOn w:val="Standardskrifttypeiafsnit"/>
    <w:semiHidden/>
    <w:rsid w:val="0094707F"/>
    <w:rPr>
      <w:vertAlign w:val="superscript"/>
    </w:rPr>
  </w:style>
  <w:style w:type="paragraph" w:styleId="Listeafsnit">
    <w:name w:val="List Paragraph"/>
    <w:basedOn w:val="Normal"/>
    <w:uiPriority w:val="34"/>
    <w:qFormat/>
    <w:rsid w:val="0094707F"/>
    <w:pPr>
      <w:ind w:left="1304"/>
      <w:jc w:val="both"/>
    </w:pPr>
    <w:rPr>
      <w:rFonts w:ascii="Times New Roman" w:hAnsi="Times New Roman"/>
      <w:sz w:val="24"/>
      <w:lang w:eastAsia="en-US"/>
    </w:rPr>
  </w:style>
  <w:style w:type="paragraph" w:customStyle="1" w:styleId="xl65">
    <w:name w:val="xl65"/>
    <w:basedOn w:val="Normal"/>
    <w:rsid w:val="0094707F"/>
    <w:pPr>
      <w:spacing w:before="100" w:beforeAutospacing="1" w:after="100" w:afterAutospacing="1"/>
    </w:pPr>
    <w:rPr>
      <w:rFonts w:cs="Arial"/>
      <w:sz w:val="18"/>
      <w:szCs w:val="18"/>
    </w:rPr>
  </w:style>
  <w:style w:type="paragraph" w:customStyle="1" w:styleId="xl66">
    <w:name w:val="xl66"/>
    <w:basedOn w:val="Normal"/>
    <w:rsid w:val="0094707F"/>
    <w:pPr>
      <w:shd w:val="clear" w:color="000000" w:fill="FFFFFF"/>
      <w:spacing w:before="100" w:beforeAutospacing="1" w:after="100" w:afterAutospacing="1"/>
    </w:pPr>
    <w:rPr>
      <w:rFonts w:ascii="Times New Roman" w:hAnsi="Times New Roman"/>
      <w:sz w:val="24"/>
    </w:rPr>
  </w:style>
  <w:style w:type="paragraph" w:customStyle="1" w:styleId="xl67">
    <w:name w:val="xl67"/>
    <w:basedOn w:val="Normal"/>
    <w:rsid w:val="0094707F"/>
    <w:pPr>
      <w:shd w:val="clear" w:color="000000" w:fill="FFFFFF"/>
      <w:spacing w:before="100" w:beforeAutospacing="1" w:after="100" w:afterAutospacing="1"/>
    </w:pPr>
    <w:rPr>
      <w:rFonts w:cs="Arial"/>
      <w:sz w:val="18"/>
      <w:szCs w:val="18"/>
    </w:rPr>
  </w:style>
  <w:style w:type="paragraph" w:customStyle="1" w:styleId="xl68">
    <w:name w:val="xl68"/>
    <w:basedOn w:val="Normal"/>
    <w:rsid w:val="0094707F"/>
    <w:pPr>
      <w:shd w:val="clear" w:color="000000" w:fill="FFFFFF"/>
      <w:spacing w:before="100" w:beforeAutospacing="1" w:after="100" w:afterAutospacing="1"/>
    </w:pPr>
    <w:rPr>
      <w:rFonts w:cs="Arial"/>
      <w:sz w:val="16"/>
      <w:szCs w:val="16"/>
    </w:rPr>
  </w:style>
  <w:style w:type="paragraph" w:customStyle="1" w:styleId="xl69">
    <w:name w:val="xl69"/>
    <w:basedOn w:val="Normal"/>
    <w:rsid w:val="0094707F"/>
    <w:pPr>
      <w:shd w:val="clear" w:color="000000" w:fill="FFFFFF"/>
      <w:spacing w:before="100" w:beforeAutospacing="1" w:after="100" w:afterAutospacing="1"/>
    </w:pPr>
    <w:rPr>
      <w:rFonts w:cs="Arial"/>
      <w:sz w:val="16"/>
      <w:szCs w:val="16"/>
    </w:rPr>
  </w:style>
  <w:style w:type="paragraph" w:customStyle="1" w:styleId="xl70">
    <w:name w:val="xl70"/>
    <w:basedOn w:val="Normal"/>
    <w:rsid w:val="0094707F"/>
    <w:pPr>
      <w:pBdr>
        <w:bottom w:val="single" w:sz="4" w:space="0" w:color="auto"/>
      </w:pBdr>
      <w:shd w:val="clear" w:color="000000" w:fill="FFFFFF"/>
      <w:spacing w:before="100" w:beforeAutospacing="1" w:after="100" w:afterAutospacing="1"/>
    </w:pPr>
    <w:rPr>
      <w:rFonts w:cs="Arial"/>
      <w:sz w:val="16"/>
      <w:szCs w:val="16"/>
    </w:rPr>
  </w:style>
  <w:style w:type="paragraph" w:customStyle="1" w:styleId="xl71">
    <w:name w:val="xl71"/>
    <w:basedOn w:val="Normal"/>
    <w:rsid w:val="0094707F"/>
    <w:pPr>
      <w:shd w:val="clear" w:color="000000" w:fill="FFFFFF"/>
      <w:spacing w:before="100" w:beforeAutospacing="1" w:after="100" w:afterAutospacing="1"/>
    </w:pPr>
    <w:rPr>
      <w:rFonts w:cs="Arial"/>
      <w:sz w:val="16"/>
      <w:szCs w:val="16"/>
    </w:rPr>
  </w:style>
  <w:style w:type="paragraph" w:customStyle="1" w:styleId="xl72">
    <w:name w:val="xl72"/>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73">
    <w:name w:val="xl73"/>
    <w:basedOn w:val="Normal"/>
    <w:rsid w:val="0094707F"/>
    <w:pPr>
      <w:shd w:val="clear" w:color="000000" w:fill="FFFFFF"/>
      <w:spacing w:before="100" w:beforeAutospacing="1" w:after="100" w:afterAutospacing="1"/>
      <w:jc w:val="center"/>
    </w:pPr>
    <w:rPr>
      <w:rFonts w:cs="Arial"/>
      <w:b/>
      <w:bCs/>
      <w:sz w:val="16"/>
      <w:szCs w:val="16"/>
    </w:rPr>
  </w:style>
  <w:style w:type="paragraph" w:customStyle="1" w:styleId="xl74">
    <w:name w:val="xl74"/>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75">
    <w:name w:val="xl75"/>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76">
    <w:name w:val="xl76"/>
    <w:basedOn w:val="Normal"/>
    <w:rsid w:val="0094707F"/>
    <w:pPr>
      <w:pBdr>
        <w:lef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77">
    <w:name w:val="xl77"/>
    <w:basedOn w:val="Normal"/>
    <w:rsid w:val="0094707F"/>
    <w:pPr>
      <w:pBdr>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78">
    <w:name w:val="xl78"/>
    <w:basedOn w:val="Normal"/>
    <w:rsid w:val="0094707F"/>
    <w:pPr>
      <w:pBdr>
        <w:left w:val="single" w:sz="4" w:space="0" w:color="auto"/>
        <w:right w:val="single" w:sz="4" w:space="0" w:color="auto"/>
      </w:pBdr>
      <w:shd w:val="clear" w:color="000000" w:fill="C0C0C0"/>
      <w:spacing w:before="100" w:beforeAutospacing="1" w:after="100" w:afterAutospacing="1"/>
    </w:pPr>
    <w:rPr>
      <w:rFonts w:cs="Arial"/>
      <w:b/>
      <w:bCs/>
      <w:sz w:val="16"/>
      <w:szCs w:val="16"/>
    </w:rPr>
  </w:style>
  <w:style w:type="paragraph" w:customStyle="1" w:styleId="xl79">
    <w:name w:val="xl79"/>
    <w:basedOn w:val="Normal"/>
    <w:rsid w:val="0094707F"/>
    <w:pPr>
      <w:shd w:val="clear" w:color="000000" w:fill="C0C0C0"/>
      <w:spacing w:before="100" w:beforeAutospacing="1" w:after="100" w:afterAutospacing="1"/>
    </w:pPr>
    <w:rPr>
      <w:rFonts w:cs="Arial"/>
      <w:sz w:val="16"/>
      <w:szCs w:val="16"/>
    </w:rPr>
  </w:style>
  <w:style w:type="paragraph" w:customStyle="1" w:styleId="xl80">
    <w:name w:val="xl80"/>
    <w:basedOn w:val="Normal"/>
    <w:rsid w:val="0094707F"/>
    <w:pPr>
      <w:shd w:val="clear" w:color="000000" w:fill="C0C0C0"/>
      <w:spacing w:before="100" w:beforeAutospacing="1" w:after="100" w:afterAutospacing="1"/>
      <w:jc w:val="center"/>
    </w:pPr>
    <w:rPr>
      <w:rFonts w:cs="Arial"/>
      <w:sz w:val="16"/>
      <w:szCs w:val="16"/>
    </w:rPr>
  </w:style>
  <w:style w:type="paragraph" w:customStyle="1" w:styleId="xl81">
    <w:name w:val="xl81"/>
    <w:basedOn w:val="Normal"/>
    <w:rsid w:val="0094707F"/>
    <w:pPr>
      <w:pBdr>
        <w:left w:val="single" w:sz="4" w:space="0" w:color="auto"/>
      </w:pBdr>
      <w:shd w:val="clear" w:color="000000" w:fill="C0C0C0"/>
      <w:spacing w:before="100" w:beforeAutospacing="1" w:after="100" w:afterAutospacing="1"/>
      <w:jc w:val="center"/>
    </w:pPr>
    <w:rPr>
      <w:rFonts w:cs="Arial"/>
      <w:sz w:val="16"/>
      <w:szCs w:val="16"/>
    </w:rPr>
  </w:style>
  <w:style w:type="paragraph" w:customStyle="1" w:styleId="xl82">
    <w:name w:val="xl82"/>
    <w:basedOn w:val="Normal"/>
    <w:rsid w:val="0094707F"/>
    <w:pPr>
      <w:pBdr>
        <w:right w:val="single" w:sz="4" w:space="0" w:color="auto"/>
      </w:pBdr>
      <w:shd w:val="clear" w:color="000000" w:fill="C0C0C0"/>
      <w:spacing w:before="100" w:beforeAutospacing="1" w:after="100" w:afterAutospacing="1"/>
      <w:jc w:val="center"/>
    </w:pPr>
    <w:rPr>
      <w:rFonts w:cs="Arial"/>
      <w:sz w:val="16"/>
      <w:szCs w:val="16"/>
    </w:rPr>
  </w:style>
  <w:style w:type="paragraph" w:customStyle="1" w:styleId="xl83">
    <w:name w:val="xl83"/>
    <w:basedOn w:val="Normal"/>
    <w:rsid w:val="0094707F"/>
    <w:pPr>
      <w:pBdr>
        <w:right w:val="single" w:sz="4" w:space="0" w:color="auto"/>
      </w:pBdr>
      <w:shd w:val="clear" w:color="000000" w:fill="C0C0C0"/>
      <w:spacing w:before="100" w:beforeAutospacing="1" w:after="100" w:afterAutospacing="1"/>
      <w:jc w:val="center"/>
    </w:pPr>
    <w:rPr>
      <w:rFonts w:cs="Arial"/>
      <w:sz w:val="16"/>
      <w:szCs w:val="16"/>
    </w:rPr>
  </w:style>
  <w:style w:type="paragraph" w:customStyle="1" w:styleId="xl84">
    <w:name w:val="xl84"/>
    <w:basedOn w:val="Normal"/>
    <w:rsid w:val="0094707F"/>
    <w:pPr>
      <w:pBdr>
        <w:left w:val="single" w:sz="4" w:space="0" w:color="auto"/>
        <w:bottom w:val="single" w:sz="4" w:space="0" w:color="auto"/>
        <w:right w:val="single" w:sz="4" w:space="0" w:color="auto"/>
      </w:pBdr>
      <w:shd w:val="clear" w:color="000000" w:fill="C0C0C0"/>
      <w:spacing w:before="100" w:beforeAutospacing="1" w:after="100" w:afterAutospacing="1"/>
    </w:pPr>
    <w:rPr>
      <w:rFonts w:cs="Arial"/>
      <w:b/>
      <w:bCs/>
      <w:sz w:val="16"/>
      <w:szCs w:val="16"/>
    </w:rPr>
  </w:style>
  <w:style w:type="paragraph" w:customStyle="1" w:styleId="xl85">
    <w:name w:val="xl85"/>
    <w:basedOn w:val="Normal"/>
    <w:rsid w:val="0094707F"/>
    <w:pPr>
      <w:pBdr>
        <w:bottom w:val="single" w:sz="4" w:space="0" w:color="auto"/>
      </w:pBdr>
      <w:shd w:val="clear" w:color="000000" w:fill="C0C0C0"/>
      <w:spacing w:before="100" w:beforeAutospacing="1" w:after="100" w:afterAutospacing="1"/>
    </w:pPr>
    <w:rPr>
      <w:rFonts w:ascii="Times New Roman" w:hAnsi="Times New Roman"/>
      <w:sz w:val="24"/>
    </w:rPr>
  </w:style>
  <w:style w:type="paragraph" w:customStyle="1" w:styleId="xl86">
    <w:name w:val="xl86"/>
    <w:basedOn w:val="Normal"/>
    <w:rsid w:val="0094707F"/>
    <w:pPr>
      <w:pBdr>
        <w:left w:val="single" w:sz="4" w:space="0" w:color="auto"/>
        <w:bottom w:val="single" w:sz="4" w:space="0" w:color="auto"/>
      </w:pBdr>
      <w:shd w:val="clear" w:color="000000" w:fill="C0C0C0"/>
      <w:spacing w:before="100" w:beforeAutospacing="1" w:after="100" w:afterAutospacing="1"/>
    </w:pPr>
    <w:rPr>
      <w:rFonts w:ascii="Times New Roman" w:hAnsi="Times New Roman"/>
      <w:sz w:val="24"/>
    </w:rPr>
  </w:style>
  <w:style w:type="paragraph" w:customStyle="1" w:styleId="xl87">
    <w:name w:val="xl87"/>
    <w:basedOn w:val="Normal"/>
    <w:rsid w:val="0094707F"/>
    <w:pPr>
      <w:pBdr>
        <w:bottom w:val="single" w:sz="4" w:space="0" w:color="auto"/>
        <w:right w:val="single" w:sz="4" w:space="0" w:color="auto"/>
      </w:pBdr>
      <w:shd w:val="clear" w:color="000000" w:fill="C0C0C0"/>
      <w:spacing w:before="100" w:beforeAutospacing="1" w:after="100" w:afterAutospacing="1"/>
    </w:pPr>
    <w:rPr>
      <w:rFonts w:ascii="Times New Roman" w:hAnsi="Times New Roman"/>
      <w:sz w:val="24"/>
    </w:rPr>
  </w:style>
  <w:style w:type="paragraph" w:customStyle="1" w:styleId="xl88">
    <w:name w:val="xl88"/>
    <w:basedOn w:val="Normal"/>
    <w:rsid w:val="0094707F"/>
    <w:pPr>
      <w:pBdr>
        <w:bottom w:val="single" w:sz="4" w:space="0" w:color="auto"/>
      </w:pBdr>
      <w:shd w:val="clear" w:color="000000" w:fill="C0C0C0"/>
      <w:spacing w:before="100" w:beforeAutospacing="1" w:after="100" w:afterAutospacing="1"/>
      <w:jc w:val="center"/>
    </w:pPr>
    <w:rPr>
      <w:rFonts w:ascii="Times New Roman" w:hAnsi="Times New Roman"/>
      <w:sz w:val="16"/>
      <w:szCs w:val="16"/>
    </w:rPr>
  </w:style>
  <w:style w:type="paragraph" w:customStyle="1" w:styleId="xl89">
    <w:name w:val="xl89"/>
    <w:basedOn w:val="Normal"/>
    <w:rsid w:val="0094707F"/>
    <w:pPr>
      <w:pBdr>
        <w:left w:val="single" w:sz="4" w:space="0" w:color="auto"/>
        <w:bottom w:val="single" w:sz="4" w:space="0" w:color="auto"/>
      </w:pBdr>
      <w:shd w:val="clear" w:color="000000" w:fill="C0C0C0"/>
      <w:spacing w:before="100" w:beforeAutospacing="1" w:after="100" w:afterAutospacing="1"/>
      <w:jc w:val="center"/>
    </w:pPr>
    <w:rPr>
      <w:rFonts w:cs="Arial"/>
      <w:sz w:val="16"/>
      <w:szCs w:val="16"/>
    </w:rPr>
  </w:style>
  <w:style w:type="paragraph" w:customStyle="1" w:styleId="xl90">
    <w:name w:val="xl90"/>
    <w:basedOn w:val="Normal"/>
    <w:rsid w:val="0094707F"/>
    <w:pPr>
      <w:pBdr>
        <w:bottom w:val="single" w:sz="4" w:space="0" w:color="auto"/>
      </w:pBdr>
      <w:shd w:val="clear" w:color="000000" w:fill="C0C0C0"/>
      <w:spacing w:before="100" w:beforeAutospacing="1" w:after="100" w:afterAutospacing="1"/>
      <w:jc w:val="center"/>
    </w:pPr>
    <w:rPr>
      <w:rFonts w:cs="Arial"/>
      <w:sz w:val="16"/>
      <w:szCs w:val="16"/>
    </w:rPr>
  </w:style>
  <w:style w:type="paragraph" w:customStyle="1" w:styleId="xl91">
    <w:name w:val="xl91"/>
    <w:basedOn w:val="Normal"/>
    <w:rsid w:val="0094707F"/>
    <w:pPr>
      <w:pBdr>
        <w:bottom w:val="single" w:sz="4" w:space="0" w:color="auto"/>
      </w:pBdr>
      <w:shd w:val="clear" w:color="000000" w:fill="C0C0C0"/>
      <w:spacing w:before="100" w:beforeAutospacing="1" w:after="100" w:afterAutospacing="1"/>
    </w:pPr>
    <w:rPr>
      <w:rFonts w:cs="Arial"/>
      <w:sz w:val="18"/>
      <w:szCs w:val="18"/>
    </w:rPr>
  </w:style>
  <w:style w:type="paragraph" w:customStyle="1" w:styleId="xl92">
    <w:name w:val="xl92"/>
    <w:basedOn w:val="Normal"/>
    <w:rsid w:val="0094707F"/>
    <w:pPr>
      <w:pBdr>
        <w:left w:val="single" w:sz="4" w:space="0" w:color="auto"/>
        <w:bottom w:val="single" w:sz="4" w:space="0" w:color="auto"/>
      </w:pBdr>
      <w:shd w:val="clear" w:color="000000" w:fill="C0C0C0"/>
      <w:spacing w:before="100" w:beforeAutospacing="1" w:after="100" w:afterAutospacing="1"/>
    </w:pPr>
    <w:rPr>
      <w:rFonts w:cs="Arial"/>
      <w:sz w:val="18"/>
      <w:szCs w:val="18"/>
    </w:rPr>
  </w:style>
  <w:style w:type="paragraph" w:customStyle="1" w:styleId="xl93">
    <w:name w:val="xl93"/>
    <w:basedOn w:val="Normal"/>
    <w:rsid w:val="0094707F"/>
    <w:pPr>
      <w:pBdr>
        <w:bottom w:val="single" w:sz="4" w:space="0" w:color="auto"/>
        <w:right w:val="single" w:sz="4" w:space="0" w:color="auto"/>
      </w:pBdr>
      <w:shd w:val="clear" w:color="000000" w:fill="C0C0C0"/>
      <w:spacing w:before="100" w:beforeAutospacing="1" w:after="100" w:afterAutospacing="1"/>
    </w:pPr>
    <w:rPr>
      <w:rFonts w:cs="Arial"/>
      <w:sz w:val="18"/>
      <w:szCs w:val="18"/>
    </w:rPr>
  </w:style>
  <w:style w:type="paragraph" w:customStyle="1" w:styleId="xl94">
    <w:name w:val="xl94"/>
    <w:basedOn w:val="Normal"/>
    <w:rsid w:val="0094707F"/>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95">
    <w:name w:val="xl95"/>
    <w:basedOn w:val="Normal"/>
    <w:rsid w:val="0094707F"/>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96">
    <w:name w:val="xl96"/>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16"/>
      <w:szCs w:val="16"/>
    </w:rPr>
  </w:style>
  <w:style w:type="paragraph" w:customStyle="1" w:styleId="xl97">
    <w:name w:val="xl97"/>
    <w:basedOn w:val="Normal"/>
    <w:rsid w:val="0094707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16"/>
      <w:szCs w:val="16"/>
    </w:rPr>
  </w:style>
  <w:style w:type="paragraph" w:customStyle="1" w:styleId="xl98">
    <w:name w:val="xl98"/>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16"/>
      <w:szCs w:val="16"/>
    </w:rPr>
  </w:style>
  <w:style w:type="paragraph" w:customStyle="1" w:styleId="xl99">
    <w:name w:val="xl99"/>
    <w:basedOn w:val="Normal"/>
    <w:rsid w:val="0094707F"/>
    <w:pPr>
      <w:shd w:val="clear" w:color="000000" w:fill="FFFFFF"/>
      <w:spacing w:before="100" w:beforeAutospacing="1" w:after="100" w:afterAutospacing="1"/>
    </w:pPr>
    <w:rPr>
      <w:rFonts w:cs="Arial"/>
      <w:sz w:val="16"/>
      <w:szCs w:val="16"/>
    </w:rPr>
  </w:style>
  <w:style w:type="paragraph" w:customStyle="1" w:styleId="xl100">
    <w:name w:val="xl100"/>
    <w:basedOn w:val="Normal"/>
    <w:rsid w:val="0094707F"/>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1">
    <w:name w:val="xl101"/>
    <w:basedOn w:val="Normal"/>
    <w:rsid w:val="0094707F"/>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2">
    <w:name w:val="xl102"/>
    <w:basedOn w:val="Normal"/>
    <w:rsid w:val="0094707F"/>
    <w:pPr>
      <w:pBdr>
        <w:left w:val="single" w:sz="4" w:space="0" w:color="auto"/>
        <w:right w:val="single" w:sz="4" w:space="0" w:color="auto"/>
      </w:pBdr>
      <w:shd w:val="clear" w:color="000000" w:fill="FFFFFF"/>
      <w:spacing w:before="100" w:beforeAutospacing="1" w:after="100" w:afterAutospacing="1"/>
      <w:jc w:val="center"/>
      <w:textAlignment w:val="center"/>
    </w:pPr>
    <w:rPr>
      <w:rFonts w:cs="Arial"/>
      <w:b/>
      <w:bCs/>
      <w:sz w:val="16"/>
      <w:szCs w:val="16"/>
    </w:rPr>
  </w:style>
  <w:style w:type="paragraph" w:customStyle="1" w:styleId="xl103">
    <w:name w:val="xl103"/>
    <w:basedOn w:val="Normal"/>
    <w:rsid w:val="0094707F"/>
    <w:pPr>
      <w:pBdr>
        <w:bottom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4">
    <w:name w:val="xl104"/>
    <w:basedOn w:val="Normal"/>
    <w:rsid w:val="0094707F"/>
    <w:pPr>
      <w:shd w:val="clear" w:color="000000" w:fill="FFFFFF"/>
      <w:spacing w:before="100" w:beforeAutospacing="1" w:after="100" w:afterAutospacing="1"/>
      <w:jc w:val="center"/>
    </w:pPr>
    <w:rPr>
      <w:rFonts w:cs="Arial"/>
      <w:b/>
      <w:bCs/>
      <w:sz w:val="16"/>
      <w:szCs w:val="16"/>
    </w:rPr>
  </w:style>
  <w:style w:type="paragraph" w:customStyle="1" w:styleId="xl105">
    <w:name w:val="xl105"/>
    <w:basedOn w:val="Normal"/>
    <w:rsid w:val="0094707F"/>
    <w:pPr>
      <w:pBdr>
        <w:lef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6">
    <w:name w:val="xl106"/>
    <w:basedOn w:val="Normal"/>
    <w:rsid w:val="0094707F"/>
    <w:pPr>
      <w:pBdr>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7">
    <w:name w:val="xl107"/>
    <w:basedOn w:val="Normal"/>
    <w:rsid w:val="0094707F"/>
    <w:pPr>
      <w:pBdr>
        <w:top w:val="single" w:sz="4" w:space="0" w:color="auto"/>
        <w:lef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8">
    <w:name w:val="xl108"/>
    <w:basedOn w:val="Normal"/>
    <w:rsid w:val="0094707F"/>
    <w:pPr>
      <w:pBdr>
        <w:top w:val="single" w:sz="4" w:space="0" w:color="auto"/>
        <w:right w:val="single" w:sz="4" w:space="0" w:color="auto"/>
      </w:pBdr>
      <w:shd w:val="clear" w:color="000000" w:fill="FFFFFF"/>
      <w:spacing w:before="100" w:beforeAutospacing="1" w:after="100" w:afterAutospacing="1"/>
      <w:jc w:val="center"/>
    </w:pPr>
    <w:rPr>
      <w:rFonts w:cs="Arial"/>
      <w:b/>
      <w:bCs/>
      <w:sz w:val="16"/>
      <w:szCs w:val="16"/>
    </w:rPr>
  </w:style>
  <w:style w:type="paragraph" w:customStyle="1" w:styleId="xl109">
    <w:name w:val="xl109"/>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pPr>
    <w:rPr>
      <w:rFonts w:cs="Arial"/>
      <w:b/>
      <w:bCs/>
      <w:sz w:val="16"/>
      <w:szCs w:val="16"/>
    </w:rPr>
  </w:style>
  <w:style w:type="paragraph" w:customStyle="1" w:styleId="xl110">
    <w:name w:val="xl110"/>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111">
    <w:name w:val="xl111"/>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112">
    <w:name w:val="xl112"/>
    <w:basedOn w:val="Normal"/>
    <w:rsid w:val="0094707F"/>
    <w:pPr>
      <w:pBdr>
        <w:top w:val="single" w:sz="4" w:space="0" w:color="auto"/>
        <w:left w:val="single" w:sz="4" w:space="0" w:color="auto"/>
      </w:pBdr>
      <w:shd w:val="clear" w:color="000000" w:fill="FFFFFF"/>
      <w:spacing w:before="100" w:beforeAutospacing="1" w:after="100" w:afterAutospacing="1"/>
      <w:jc w:val="center"/>
    </w:pPr>
    <w:rPr>
      <w:rFonts w:cs="Arial"/>
      <w:sz w:val="16"/>
      <w:szCs w:val="16"/>
    </w:rPr>
  </w:style>
  <w:style w:type="paragraph" w:customStyle="1" w:styleId="xl113">
    <w:name w:val="xl113"/>
    <w:basedOn w:val="Normal"/>
    <w:rsid w:val="0094707F"/>
    <w:pPr>
      <w:pBdr>
        <w:top w:val="single" w:sz="4" w:space="0" w:color="auto"/>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14">
    <w:name w:val="xl114"/>
    <w:basedOn w:val="Normal"/>
    <w:rsid w:val="0094707F"/>
    <w:pPr>
      <w:pBdr>
        <w:top w:val="single" w:sz="4" w:space="0" w:color="auto"/>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15">
    <w:name w:val="xl115"/>
    <w:basedOn w:val="Normal"/>
    <w:rsid w:val="0094707F"/>
    <w:pPr>
      <w:pBdr>
        <w:left w:val="single" w:sz="4" w:space="0" w:color="auto"/>
        <w:right w:val="single" w:sz="4" w:space="0" w:color="auto"/>
      </w:pBdr>
      <w:shd w:val="clear" w:color="000000" w:fill="FFFFFF"/>
      <w:spacing w:before="100" w:beforeAutospacing="1" w:after="100" w:afterAutospacing="1"/>
    </w:pPr>
    <w:rPr>
      <w:rFonts w:cs="Arial"/>
      <w:b/>
      <w:bCs/>
      <w:sz w:val="16"/>
      <w:szCs w:val="16"/>
    </w:rPr>
  </w:style>
  <w:style w:type="paragraph" w:customStyle="1" w:styleId="xl116">
    <w:name w:val="xl116"/>
    <w:basedOn w:val="Normal"/>
    <w:rsid w:val="0094707F"/>
    <w:pPr>
      <w:shd w:val="clear" w:color="000000" w:fill="FFFFFF"/>
      <w:spacing w:before="100" w:beforeAutospacing="1" w:after="100" w:afterAutospacing="1"/>
    </w:pPr>
    <w:rPr>
      <w:rFonts w:cs="Arial"/>
      <w:sz w:val="16"/>
      <w:szCs w:val="16"/>
    </w:rPr>
  </w:style>
  <w:style w:type="paragraph" w:customStyle="1" w:styleId="xl117">
    <w:name w:val="xl117"/>
    <w:basedOn w:val="Normal"/>
    <w:rsid w:val="0094707F"/>
    <w:pPr>
      <w:shd w:val="clear" w:color="000000" w:fill="FFFFFF"/>
      <w:spacing w:before="100" w:beforeAutospacing="1" w:after="100" w:afterAutospacing="1"/>
    </w:pPr>
    <w:rPr>
      <w:rFonts w:cs="Arial"/>
      <w:sz w:val="16"/>
      <w:szCs w:val="16"/>
    </w:rPr>
  </w:style>
  <w:style w:type="paragraph" w:customStyle="1" w:styleId="xl118">
    <w:name w:val="xl118"/>
    <w:basedOn w:val="Normal"/>
    <w:rsid w:val="0094707F"/>
    <w:pPr>
      <w:pBdr>
        <w:left w:val="single" w:sz="4" w:space="0" w:color="auto"/>
      </w:pBdr>
      <w:shd w:val="clear" w:color="000000" w:fill="FFFFFF"/>
      <w:spacing w:before="100" w:beforeAutospacing="1" w:after="100" w:afterAutospacing="1"/>
      <w:jc w:val="center"/>
    </w:pPr>
    <w:rPr>
      <w:rFonts w:cs="Arial"/>
      <w:sz w:val="16"/>
      <w:szCs w:val="16"/>
    </w:rPr>
  </w:style>
  <w:style w:type="paragraph" w:customStyle="1" w:styleId="xl119">
    <w:name w:val="xl119"/>
    <w:basedOn w:val="Normal"/>
    <w:rsid w:val="0094707F"/>
    <w:pPr>
      <w:pBdr>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20">
    <w:name w:val="xl120"/>
    <w:basedOn w:val="Normal"/>
    <w:rsid w:val="0094707F"/>
    <w:pPr>
      <w:pBdr>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21">
    <w:name w:val="xl121"/>
    <w:basedOn w:val="Normal"/>
    <w:rsid w:val="0094707F"/>
    <w:pPr>
      <w:pBdr>
        <w:left w:val="single" w:sz="4" w:space="0" w:color="auto"/>
      </w:pBdr>
      <w:shd w:val="clear" w:color="000000" w:fill="FFFFFF"/>
      <w:spacing w:before="100" w:beforeAutospacing="1" w:after="100" w:afterAutospacing="1"/>
      <w:jc w:val="center"/>
    </w:pPr>
    <w:rPr>
      <w:rFonts w:cs="Arial"/>
      <w:sz w:val="16"/>
      <w:szCs w:val="16"/>
    </w:rPr>
  </w:style>
  <w:style w:type="paragraph" w:customStyle="1" w:styleId="xl122">
    <w:name w:val="xl122"/>
    <w:basedOn w:val="Normal"/>
    <w:rsid w:val="0094707F"/>
    <w:pPr>
      <w:pBdr>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23">
    <w:name w:val="xl123"/>
    <w:basedOn w:val="Normal"/>
    <w:rsid w:val="0094707F"/>
    <w:pPr>
      <w:shd w:val="clear" w:color="000000" w:fill="FFFFFF"/>
      <w:spacing w:before="100" w:beforeAutospacing="1" w:after="100" w:afterAutospacing="1"/>
      <w:jc w:val="center"/>
    </w:pPr>
    <w:rPr>
      <w:rFonts w:cs="Arial"/>
      <w:sz w:val="16"/>
      <w:szCs w:val="16"/>
    </w:rPr>
  </w:style>
  <w:style w:type="paragraph" w:customStyle="1" w:styleId="xl124">
    <w:name w:val="xl124"/>
    <w:basedOn w:val="Normal"/>
    <w:rsid w:val="0094707F"/>
    <w:pPr>
      <w:pBdr>
        <w:left w:val="single" w:sz="4" w:space="0" w:color="auto"/>
        <w:bottom w:val="single" w:sz="4" w:space="0" w:color="auto"/>
        <w:right w:val="single" w:sz="4" w:space="0" w:color="auto"/>
      </w:pBdr>
      <w:shd w:val="clear" w:color="000000" w:fill="FFFFFF"/>
      <w:spacing w:before="100" w:beforeAutospacing="1" w:after="100" w:afterAutospacing="1"/>
    </w:pPr>
    <w:rPr>
      <w:rFonts w:cs="Arial"/>
      <w:b/>
      <w:bCs/>
      <w:sz w:val="16"/>
      <w:szCs w:val="16"/>
    </w:rPr>
  </w:style>
  <w:style w:type="paragraph" w:customStyle="1" w:styleId="xl125">
    <w:name w:val="xl125"/>
    <w:basedOn w:val="Normal"/>
    <w:rsid w:val="0094707F"/>
    <w:pPr>
      <w:pBdr>
        <w:bottom w:val="single" w:sz="4" w:space="0" w:color="auto"/>
      </w:pBdr>
      <w:shd w:val="clear" w:color="000000" w:fill="FFFFFF"/>
      <w:spacing w:before="100" w:beforeAutospacing="1" w:after="100" w:afterAutospacing="1"/>
    </w:pPr>
    <w:rPr>
      <w:rFonts w:cs="Arial"/>
      <w:sz w:val="16"/>
      <w:szCs w:val="16"/>
    </w:rPr>
  </w:style>
  <w:style w:type="paragraph" w:customStyle="1" w:styleId="xl126">
    <w:name w:val="xl126"/>
    <w:basedOn w:val="Normal"/>
    <w:rsid w:val="0094707F"/>
    <w:pPr>
      <w:pBdr>
        <w:left w:val="single" w:sz="4" w:space="0" w:color="auto"/>
        <w:bottom w:val="single" w:sz="4" w:space="0" w:color="auto"/>
      </w:pBdr>
      <w:shd w:val="clear" w:color="000000" w:fill="FFFFFF"/>
      <w:spacing w:before="100" w:beforeAutospacing="1" w:after="100" w:afterAutospacing="1"/>
      <w:jc w:val="center"/>
    </w:pPr>
    <w:rPr>
      <w:rFonts w:cs="Arial"/>
      <w:sz w:val="16"/>
      <w:szCs w:val="16"/>
    </w:rPr>
  </w:style>
  <w:style w:type="paragraph" w:customStyle="1" w:styleId="xl127">
    <w:name w:val="xl127"/>
    <w:basedOn w:val="Normal"/>
    <w:rsid w:val="0094707F"/>
    <w:pPr>
      <w:pBdr>
        <w:bottom w:val="single" w:sz="4" w:space="0" w:color="auto"/>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28">
    <w:name w:val="xl128"/>
    <w:basedOn w:val="Normal"/>
    <w:rsid w:val="0094707F"/>
    <w:pPr>
      <w:pBdr>
        <w:bottom w:val="single" w:sz="4" w:space="0" w:color="auto"/>
      </w:pBdr>
      <w:shd w:val="clear" w:color="000000" w:fill="FFFFFF"/>
      <w:spacing w:before="100" w:beforeAutospacing="1" w:after="100" w:afterAutospacing="1"/>
      <w:jc w:val="center"/>
    </w:pPr>
    <w:rPr>
      <w:rFonts w:cs="Arial"/>
      <w:sz w:val="16"/>
      <w:szCs w:val="16"/>
    </w:rPr>
  </w:style>
  <w:style w:type="paragraph" w:customStyle="1" w:styleId="xl129">
    <w:name w:val="xl129"/>
    <w:basedOn w:val="Normal"/>
    <w:rsid w:val="0094707F"/>
    <w:pPr>
      <w:pBdr>
        <w:bottom w:val="single" w:sz="4" w:space="0" w:color="auto"/>
        <w:right w:val="single" w:sz="4" w:space="0" w:color="auto"/>
      </w:pBdr>
      <w:shd w:val="clear" w:color="000000" w:fill="FFFFFF"/>
      <w:spacing w:before="100" w:beforeAutospacing="1" w:after="100" w:afterAutospacing="1"/>
      <w:jc w:val="center"/>
    </w:pPr>
    <w:rPr>
      <w:rFonts w:cs="Arial"/>
      <w:sz w:val="16"/>
      <w:szCs w:val="16"/>
    </w:rPr>
  </w:style>
  <w:style w:type="paragraph" w:customStyle="1" w:styleId="xl130">
    <w:name w:val="xl130"/>
    <w:basedOn w:val="Normal"/>
    <w:rsid w:val="0094707F"/>
    <w:pPr>
      <w:shd w:val="clear" w:color="000000" w:fill="FFFFFF"/>
      <w:spacing w:before="100" w:beforeAutospacing="1" w:after="100" w:afterAutospacing="1"/>
      <w:jc w:val="center"/>
    </w:pPr>
    <w:rPr>
      <w:rFonts w:cs="Arial"/>
      <w:sz w:val="16"/>
      <w:szCs w:val="16"/>
    </w:rPr>
  </w:style>
  <w:style w:type="paragraph" w:customStyle="1" w:styleId="xl131">
    <w:name w:val="xl131"/>
    <w:basedOn w:val="Normal"/>
    <w:rsid w:val="0094707F"/>
    <w:pPr>
      <w:pBdr>
        <w:top w:val="single" w:sz="4" w:space="0" w:color="auto"/>
      </w:pBdr>
      <w:shd w:val="clear" w:color="000000" w:fill="FFFFFF"/>
      <w:spacing w:before="100" w:beforeAutospacing="1" w:after="100" w:afterAutospacing="1"/>
      <w:jc w:val="center"/>
    </w:pPr>
    <w:rPr>
      <w:rFonts w:cs="Arial"/>
      <w:sz w:val="16"/>
      <w:szCs w:val="16"/>
    </w:rPr>
  </w:style>
  <w:style w:type="paragraph" w:customStyle="1" w:styleId="xl132">
    <w:name w:val="xl132"/>
    <w:basedOn w:val="Normal"/>
    <w:rsid w:val="0094707F"/>
    <w:pPr>
      <w:pBdr>
        <w:left w:val="single" w:sz="4" w:space="0" w:color="auto"/>
        <w:bottom w:val="single" w:sz="4" w:space="0" w:color="auto"/>
      </w:pBdr>
      <w:shd w:val="clear" w:color="000000" w:fill="FFFFFF"/>
      <w:spacing w:before="100" w:beforeAutospacing="1" w:after="100" w:afterAutospacing="1"/>
      <w:jc w:val="center"/>
    </w:pPr>
    <w:rPr>
      <w:rFonts w:cs="Arial"/>
      <w:sz w:val="16"/>
      <w:szCs w:val="16"/>
    </w:rPr>
  </w:style>
  <w:style w:type="paragraph" w:customStyle="1" w:styleId="xl133">
    <w:name w:val="xl133"/>
    <w:basedOn w:val="Normal"/>
    <w:rsid w:val="0094707F"/>
    <w:pPr>
      <w:pBdr>
        <w:top w:val="single" w:sz="4" w:space="0" w:color="auto"/>
      </w:pBdr>
      <w:shd w:val="clear" w:color="000000" w:fill="FFFFFF"/>
      <w:spacing w:before="100" w:beforeAutospacing="1" w:after="100" w:afterAutospacing="1"/>
    </w:pPr>
    <w:rPr>
      <w:rFonts w:cs="Arial"/>
      <w:sz w:val="16"/>
      <w:szCs w:val="16"/>
    </w:rPr>
  </w:style>
  <w:style w:type="paragraph" w:customStyle="1" w:styleId="xl134">
    <w:name w:val="xl134"/>
    <w:basedOn w:val="Normal"/>
    <w:rsid w:val="0094707F"/>
    <w:pPr>
      <w:shd w:val="clear" w:color="000000" w:fill="FFFFFF"/>
      <w:spacing w:before="100" w:beforeAutospacing="1" w:after="100" w:afterAutospacing="1"/>
    </w:pPr>
    <w:rPr>
      <w:rFonts w:ascii="Times New Roman" w:hAnsi="Times New Roman"/>
      <w:sz w:val="24"/>
    </w:rPr>
  </w:style>
  <w:style w:type="paragraph" w:customStyle="1" w:styleId="xl135">
    <w:name w:val="xl135"/>
    <w:basedOn w:val="Normal"/>
    <w:rsid w:val="0094707F"/>
    <w:pPr>
      <w:pBdr>
        <w:top w:val="single" w:sz="4" w:space="0" w:color="auto"/>
        <w:left w:val="single" w:sz="4" w:space="0" w:color="auto"/>
      </w:pBdr>
      <w:shd w:val="clear" w:color="000000" w:fill="FFFFFF"/>
      <w:spacing w:before="100" w:beforeAutospacing="1" w:after="100" w:afterAutospacing="1"/>
    </w:pPr>
    <w:rPr>
      <w:rFonts w:cs="Arial"/>
      <w:b/>
      <w:bCs/>
      <w:sz w:val="16"/>
      <w:szCs w:val="16"/>
    </w:rPr>
  </w:style>
  <w:style w:type="paragraph" w:customStyle="1" w:styleId="xl136">
    <w:name w:val="xl136"/>
    <w:basedOn w:val="Normal"/>
    <w:rsid w:val="0094707F"/>
    <w:pPr>
      <w:pBdr>
        <w:left w:val="single" w:sz="4" w:space="0" w:color="auto"/>
      </w:pBdr>
      <w:shd w:val="clear" w:color="000000" w:fill="FFFFFF"/>
      <w:spacing w:before="100" w:beforeAutospacing="1" w:after="100" w:afterAutospacing="1"/>
    </w:pPr>
    <w:rPr>
      <w:rFonts w:cs="Arial"/>
      <w:b/>
      <w:bCs/>
      <w:sz w:val="16"/>
      <w:szCs w:val="16"/>
    </w:rPr>
  </w:style>
  <w:style w:type="paragraph" w:customStyle="1" w:styleId="xl137">
    <w:name w:val="xl137"/>
    <w:basedOn w:val="Normal"/>
    <w:rsid w:val="0094707F"/>
    <w:pPr>
      <w:pBdr>
        <w:left w:val="single" w:sz="4" w:space="0" w:color="auto"/>
        <w:bottom w:val="single" w:sz="4" w:space="0" w:color="auto"/>
      </w:pBdr>
      <w:shd w:val="clear" w:color="000000" w:fill="FFFFFF"/>
      <w:spacing w:before="100" w:beforeAutospacing="1" w:after="100" w:afterAutospacing="1"/>
    </w:pPr>
    <w:rPr>
      <w:rFonts w:cs="Arial"/>
      <w:b/>
      <w:bCs/>
      <w:sz w:val="16"/>
      <w:szCs w:val="16"/>
    </w:rPr>
  </w:style>
  <w:style w:type="paragraph" w:customStyle="1" w:styleId="xl138">
    <w:name w:val="xl138"/>
    <w:basedOn w:val="Normal"/>
    <w:rsid w:val="0094707F"/>
    <w:pPr>
      <w:pBdr>
        <w:top w:val="single" w:sz="4" w:space="0" w:color="auto"/>
        <w:right w:val="single" w:sz="4" w:space="0" w:color="auto"/>
      </w:pBdr>
      <w:shd w:val="clear" w:color="000000" w:fill="FFFFFF"/>
      <w:spacing w:before="100" w:beforeAutospacing="1" w:after="100" w:afterAutospacing="1"/>
    </w:pPr>
    <w:rPr>
      <w:rFonts w:cs="Arial"/>
      <w:b/>
      <w:bCs/>
      <w:sz w:val="16"/>
      <w:szCs w:val="16"/>
    </w:rPr>
  </w:style>
  <w:style w:type="paragraph" w:customStyle="1" w:styleId="xl139">
    <w:name w:val="xl139"/>
    <w:basedOn w:val="Normal"/>
    <w:rsid w:val="0094707F"/>
    <w:pPr>
      <w:shd w:val="clear" w:color="000000" w:fill="FFFFFF"/>
      <w:spacing w:before="100" w:beforeAutospacing="1" w:after="100" w:afterAutospacing="1"/>
      <w:jc w:val="right"/>
    </w:pPr>
    <w:rPr>
      <w:rFonts w:cs="Arial"/>
      <w:b/>
      <w:bCs/>
      <w:sz w:val="16"/>
      <w:szCs w:val="16"/>
    </w:rPr>
  </w:style>
  <w:style w:type="paragraph" w:styleId="Indholdsfortegnelse5">
    <w:name w:val="toc 5"/>
    <w:basedOn w:val="Normal"/>
    <w:next w:val="Normal"/>
    <w:autoRedefine/>
    <w:uiPriority w:val="39"/>
    <w:unhideWhenUsed/>
    <w:rsid w:val="0094707F"/>
    <w:pPr>
      <w:spacing w:after="100" w:line="276" w:lineRule="auto"/>
      <w:ind w:left="880"/>
    </w:pPr>
    <w:rPr>
      <w:rFonts w:ascii="Calibri" w:hAnsi="Calibri"/>
      <w:szCs w:val="22"/>
    </w:rPr>
  </w:style>
  <w:style w:type="paragraph" w:styleId="Indholdsfortegnelse6">
    <w:name w:val="toc 6"/>
    <w:basedOn w:val="Normal"/>
    <w:next w:val="Normal"/>
    <w:autoRedefine/>
    <w:uiPriority w:val="39"/>
    <w:unhideWhenUsed/>
    <w:rsid w:val="0094707F"/>
    <w:pPr>
      <w:spacing w:after="100" w:line="276" w:lineRule="auto"/>
      <w:ind w:left="1100"/>
    </w:pPr>
    <w:rPr>
      <w:rFonts w:ascii="Calibri" w:hAnsi="Calibri"/>
      <w:szCs w:val="22"/>
    </w:rPr>
  </w:style>
  <w:style w:type="paragraph" w:styleId="Indholdsfortegnelse7">
    <w:name w:val="toc 7"/>
    <w:basedOn w:val="Normal"/>
    <w:next w:val="Normal"/>
    <w:autoRedefine/>
    <w:uiPriority w:val="39"/>
    <w:unhideWhenUsed/>
    <w:rsid w:val="0094707F"/>
    <w:pPr>
      <w:spacing w:after="100" w:line="276" w:lineRule="auto"/>
      <w:ind w:left="1320"/>
    </w:pPr>
    <w:rPr>
      <w:rFonts w:ascii="Calibri" w:hAnsi="Calibri"/>
      <w:szCs w:val="22"/>
    </w:rPr>
  </w:style>
  <w:style w:type="paragraph" w:styleId="Indholdsfortegnelse8">
    <w:name w:val="toc 8"/>
    <w:basedOn w:val="Normal"/>
    <w:next w:val="Normal"/>
    <w:autoRedefine/>
    <w:uiPriority w:val="39"/>
    <w:unhideWhenUsed/>
    <w:rsid w:val="0094707F"/>
    <w:pPr>
      <w:spacing w:after="100" w:line="276" w:lineRule="auto"/>
      <w:ind w:left="1540"/>
    </w:pPr>
    <w:rPr>
      <w:rFonts w:ascii="Calibri" w:hAnsi="Calibri"/>
      <w:szCs w:val="22"/>
    </w:rPr>
  </w:style>
  <w:style w:type="paragraph" w:styleId="Indholdsfortegnelse9">
    <w:name w:val="toc 9"/>
    <w:basedOn w:val="Normal"/>
    <w:next w:val="Normal"/>
    <w:autoRedefine/>
    <w:uiPriority w:val="39"/>
    <w:unhideWhenUsed/>
    <w:rsid w:val="0094707F"/>
    <w:pPr>
      <w:spacing w:after="100" w:line="276" w:lineRule="auto"/>
      <w:ind w:left="1760"/>
    </w:pPr>
    <w:rPr>
      <w:rFonts w:ascii="Calibri" w:hAnsi="Calibri"/>
      <w:szCs w:val="22"/>
    </w:rPr>
  </w:style>
  <w:style w:type="paragraph" w:customStyle="1" w:styleId="Normal2">
    <w:name w:val="Normal2"/>
    <w:basedOn w:val="Normal"/>
    <w:rsid w:val="0094707F"/>
    <w:pPr>
      <w:jc w:val="both"/>
    </w:pPr>
    <w:rPr>
      <w:rFonts w:ascii="Garamond" w:hAnsi="Garamond"/>
      <w:color w:val="000000"/>
      <w:sz w:val="24"/>
      <w:szCs w:val="17"/>
    </w:rPr>
  </w:style>
  <w:style w:type="numbering" w:customStyle="1" w:styleId="Ingenoversigt1">
    <w:name w:val="Ingen oversigt1"/>
    <w:next w:val="Ingenoversigt"/>
    <w:uiPriority w:val="99"/>
    <w:semiHidden/>
    <w:unhideWhenUsed/>
    <w:rsid w:val="0094707F"/>
  </w:style>
  <w:style w:type="numbering" w:customStyle="1" w:styleId="Ingenoversigt2">
    <w:name w:val="Ingen oversigt2"/>
    <w:next w:val="Ingenoversigt"/>
    <w:uiPriority w:val="99"/>
    <w:semiHidden/>
    <w:unhideWhenUsed/>
    <w:rsid w:val="0094707F"/>
  </w:style>
  <w:style w:type="paragraph" w:customStyle="1" w:styleId="xl151">
    <w:name w:val="xl151"/>
    <w:basedOn w:val="Normal"/>
    <w:rsid w:val="0094707F"/>
    <w:pPr>
      <w:shd w:val="clear" w:color="000000" w:fill="FFFFFF"/>
      <w:spacing w:before="100" w:beforeAutospacing="1" w:after="100" w:afterAutospacing="1"/>
    </w:pPr>
    <w:rPr>
      <w:rFonts w:ascii="Times New Roman" w:hAnsi="Times New Roman"/>
      <w:b/>
      <w:bCs/>
      <w:sz w:val="16"/>
      <w:szCs w:val="16"/>
    </w:rPr>
  </w:style>
  <w:style w:type="paragraph" w:customStyle="1" w:styleId="xl152">
    <w:name w:val="xl152"/>
    <w:basedOn w:val="Normal"/>
    <w:rsid w:val="0094707F"/>
    <w:pPr>
      <w:shd w:val="clear" w:color="000000" w:fill="FFFFFF"/>
      <w:spacing w:before="100" w:beforeAutospacing="1" w:after="100" w:afterAutospacing="1"/>
    </w:pPr>
    <w:rPr>
      <w:rFonts w:ascii="Times New Roman" w:hAnsi="Times New Roman"/>
      <w:sz w:val="16"/>
      <w:szCs w:val="16"/>
    </w:rPr>
  </w:style>
  <w:style w:type="paragraph" w:customStyle="1" w:styleId="xl153">
    <w:name w:val="xl153"/>
    <w:basedOn w:val="Normal"/>
    <w:rsid w:val="0094707F"/>
    <w:pPr>
      <w:shd w:val="clear" w:color="000000" w:fill="FFFFFF"/>
      <w:spacing w:before="100" w:beforeAutospacing="1" w:after="100" w:afterAutospacing="1"/>
      <w:jc w:val="center"/>
    </w:pPr>
    <w:rPr>
      <w:rFonts w:ascii="Times New Roman" w:hAnsi="Times New Roman"/>
      <w:sz w:val="16"/>
      <w:szCs w:val="16"/>
    </w:rPr>
  </w:style>
  <w:style w:type="paragraph" w:customStyle="1" w:styleId="xl154">
    <w:name w:val="xl154"/>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sz w:val="16"/>
      <w:szCs w:val="16"/>
    </w:rPr>
  </w:style>
  <w:style w:type="paragraph" w:customStyle="1" w:styleId="xl155">
    <w:name w:val="xl155"/>
    <w:basedOn w:val="Normal"/>
    <w:rsid w:val="0094707F"/>
    <w:pPr>
      <w:pBdr>
        <w:top w:val="single" w:sz="4" w:space="0" w:color="auto"/>
      </w:pBdr>
      <w:shd w:val="clear" w:color="000000" w:fill="FFFFFF"/>
      <w:spacing w:before="100" w:beforeAutospacing="1" w:after="100" w:afterAutospacing="1"/>
      <w:textAlignment w:val="center"/>
    </w:pPr>
    <w:rPr>
      <w:rFonts w:ascii="Times New Roman" w:hAnsi="Times New Roman"/>
      <w:b/>
      <w:bCs/>
      <w:color w:val="000000"/>
      <w:sz w:val="16"/>
      <w:szCs w:val="16"/>
    </w:rPr>
  </w:style>
  <w:style w:type="paragraph" w:customStyle="1" w:styleId="xl156">
    <w:name w:val="xl156"/>
    <w:basedOn w:val="Normal"/>
    <w:rsid w:val="0094707F"/>
    <w:pPr>
      <w:pBdr>
        <w:top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16"/>
      <w:szCs w:val="16"/>
    </w:rPr>
  </w:style>
  <w:style w:type="paragraph" w:customStyle="1" w:styleId="xl157">
    <w:name w:val="xl157"/>
    <w:basedOn w:val="Normal"/>
    <w:rsid w:val="0094707F"/>
    <w:pPr>
      <w:pBdr>
        <w:top w:val="single" w:sz="4" w:space="0" w:color="auto"/>
      </w:pBdr>
      <w:shd w:val="clear" w:color="000000" w:fill="FFFFFF"/>
      <w:spacing w:before="100" w:beforeAutospacing="1" w:after="100" w:afterAutospacing="1"/>
      <w:jc w:val="center"/>
    </w:pPr>
    <w:rPr>
      <w:rFonts w:ascii="Times New Roman" w:hAnsi="Times New Roman"/>
      <w:sz w:val="16"/>
      <w:szCs w:val="16"/>
    </w:rPr>
  </w:style>
  <w:style w:type="paragraph" w:customStyle="1" w:styleId="xl158">
    <w:name w:val="xl158"/>
    <w:basedOn w:val="Normal"/>
    <w:rsid w:val="0094707F"/>
    <w:pPr>
      <w:pBdr>
        <w:top w:val="single" w:sz="4" w:space="0" w:color="auto"/>
      </w:pBdr>
      <w:shd w:val="clear" w:color="000000" w:fill="FFFFFF"/>
      <w:spacing w:before="100" w:beforeAutospacing="1" w:after="100" w:afterAutospacing="1"/>
    </w:pPr>
    <w:rPr>
      <w:rFonts w:ascii="Times New Roman" w:hAnsi="Times New Roman"/>
      <w:b/>
      <w:bCs/>
      <w:sz w:val="16"/>
      <w:szCs w:val="16"/>
    </w:rPr>
  </w:style>
  <w:style w:type="paragraph" w:customStyle="1" w:styleId="xl159">
    <w:name w:val="xl159"/>
    <w:basedOn w:val="Normal"/>
    <w:rsid w:val="0094707F"/>
    <w:pPr>
      <w:pBdr>
        <w:top w:val="single" w:sz="4" w:space="0" w:color="auto"/>
      </w:pBdr>
      <w:shd w:val="clear" w:color="000000" w:fill="FFFFFF"/>
      <w:spacing w:before="100" w:beforeAutospacing="1" w:after="100" w:afterAutospacing="1"/>
    </w:pPr>
    <w:rPr>
      <w:rFonts w:ascii="Times New Roman" w:hAnsi="Times New Roman"/>
      <w:sz w:val="16"/>
      <w:szCs w:val="16"/>
    </w:rPr>
  </w:style>
  <w:style w:type="paragraph" w:customStyle="1" w:styleId="xl160">
    <w:name w:val="xl160"/>
    <w:basedOn w:val="Normal"/>
    <w:rsid w:val="0094707F"/>
    <w:pPr>
      <w:pBdr>
        <w:top w:val="single" w:sz="4" w:space="0" w:color="auto"/>
        <w:right w:val="single" w:sz="4" w:space="0" w:color="auto"/>
      </w:pBdr>
      <w:shd w:val="clear" w:color="000000" w:fill="FFFFFF"/>
      <w:spacing w:before="100" w:beforeAutospacing="1" w:after="100" w:afterAutospacing="1"/>
    </w:pPr>
    <w:rPr>
      <w:rFonts w:ascii="Times New Roman" w:hAnsi="Times New Roman"/>
      <w:sz w:val="16"/>
      <w:szCs w:val="16"/>
    </w:rPr>
  </w:style>
  <w:style w:type="paragraph" w:customStyle="1" w:styleId="xl161">
    <w:name w:val="xl161"/>
    <w:basedOn w:val="Normal"/>
    <w:rsid w:val="0094707F"/>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16"/>
      <w:szCs w:val="16"/>
    </w:rPr>
  </w:style>
  <w:style w:type="paragraph" w:customStyle="1" w:styleId="xl162">
    <w:name w:val="xl162"/>
    <w:basedOn w:val="Normal"/>
    <w:rsid w:val="0094707F"/>
    <w:pPr>
      <w:shd w:val="clear" w:color="000000" w:fill="FFFFFF"/>
      <w:spacing w:before="100" w:beforeAutospacing="1" w:after="100" w:afterAutospacing="1"/>
      <w:jc w:val="center"/>
      <w:textAlignment w:val="center"/>
    </w:pPr>
    <w:rPr>
      <w:rFonts w:ascii="Times New Roman" w:hAnsi="Times New Roman"/>
      <w:color w:val="000000"/>
      <w:sz w:val="16"/>
      <w:szCs w:val="16"/>
    </w:rPr>
  </w:style>
  <w:style w:type="paragraph" w:customStyle="1" w:styleId="xl163">
    <w:name w:val="xl163"/>
    <w:basedOn w:val="Normal"/>
    <w:rsid w:val="0094707F"/>
    <w:pPr>
      <w:pBdr>
        <w:right w:val="single" w:sz="4" w:space="0" w:color="auto"/>
      </w:pBdr>
      <w:shd w:val="clear" w:color="000000" w:fill="FFFFFF"/>
      <w:spacing w:before="100" w:beforeAutospacing="1" w:after="100" w:afterAutospacing="1"/>
      <w:jc w:val="center"/>
    </w:pPr>
    <w:rPr>
      <w:rFonts w:ascii="Times New Roman" w:hAnsi="Times New Roman"/>
      <w:sz w:val="16"/>
      <w:szCs w:val="16"/>
    </w:rPr>
  </w:style>
  <w:style w:type="paragraph" w:customStyle="1" w:styleId="xl164">
    <w:name w:val="xl164"/>
    <w:basedOn w:val="Normal"/>
    <w:rsid w:val="0094707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16"/>
      <w:szCs w:val="16"/>
    </w:rPr>
  </w:style>
  <w:style w:type="paragraph" w:customStyle="1" w:styleId="xl165">
    <w:name w:val="xl165"/>
    <w:basedOn w:val="Normal"/>
    <w:rsid w:val="0094707F"/>
    <w:pPr>
      <w:pBdr>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166">
    <w:name w:val="xl166"/>
    <w:basedOn w:val="Normal"/>
    <w:rsid w:val="0094707F"/>
    <w:pPr>
      <w:pBdr>
        <w:bottom w:val="single" w:sz="4" w:space="0" w:color="auto"/>
      </w:pBdr>
      <w:shd w:val="clear" w:color="000000" w:fill="FFFFFF"/>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167">
    <w:name w:val="xl167"/>
    <w:basedOn w:val="Normal"/>
    <w:rsid w:val="00947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168">
    <w:name w:val="xl168"/>
    <w:basedOn w:val="Normal"/>
    <w:rsid w:val="0094707F"/>
    <w:pPr>
      <w:pBdr>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169">
    <w:name w:val="xl169"/>
    <w:basedOn w:val="Normal"/>
    <w:rsid w:val="0094707F"/>
    <w:pPr>
      <w:shd w:val="clear" w:color="000000" w:fill="FFFFFF"/>
      <w:spacing w:before="100" w:beforeAutospacing="1" w:after="100" w:afterAutospacing="1"/>
      <w:jc w:val="center"/>
      <w:textAlignment w:val="center"/>
    </w:pPr>
    <w:rPr>
      <w:rFonts w:ascii="Times New Roman" w:hAnsi="Times New Roman"/>
      <w:b/>
      <w:bCs/>
      <w:sz w:val="16"/>
      <w:szCs w:val="16"/>
    </w:rPr>
  </w:style>
  <w:style w:type="paragraph" w:customStyle="1" w:styleId="xl170">
    <w:name w:val="xl170"/>
    <w:basedOn w:val="Normal"/>
    <w:rsid w:val="0094707F"/>
    <w:pPr>
      <w:pBdr>
        <w:top w:val="single" w:sz="4" w:space="0" w:color="auto"/>
        <w:lef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1">
    <w:name w:val="xl171"/>
    <w:basedOn w:val="Normal"/>
    <w:rsid w:val="0094707F"/>
    <w:pPr>
      <w:pBdr>
        <w:top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2">
    <w:name w:val="xl172"/>
    <w:basedOn w:val="Normal"/>
    <w:rsid w:val="0094707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3">
    <w:name w:val="xl173"/>
    <w:basedOn w:val="Normal"/>
    <w:rsid w:val="0094707F"/>
    <w:pPr>
      <w:pBdr>
        <w:top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4">
    <w:name w:val="xl174"/>
    <w:basedOn w:val="Normal"/>
    <w:rsid w:val="0094707F"/>
    <w:pPr>
      <w:pBdr>
        <w:lef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5">
    <w:name w:val="xl175"/>
    <w:basedOn w:val="Normal"/>
    <w:rsid w:val="0094707F"/>
    <w:pPr>
      <w:shd w:val="clear" w:color="000000" w:fill="FFFFFF"/>
      <w:spacing w:before="100" w:beforeAutospacing="1" w:after="100" w:afterAutospacing="1"/>
    </w:pPr>
    <w:rPr>
      <w:rFonts w:ascii="Times New Roman" w:hAnsi="Times New Roman"/>
      <w:color w:val="000000"/>
      <w:sz w:val="16"/>
      <w:szCs w:val="16"/>
    </w:rPr>
  </w:style>
  <w:style w:type="paragraph" w:customStyle="1" w:styleId="xl176">
    <w:name w:val="xl176"/>
    <w:basedOn w:val="Normal"/>
    <w:rsid w:val="0094707F"/>
    <w:pPr>
      <w:pBdr>
        <w:left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7">
    <w:name w:val="xl177"/>
    <w:basedOn w:val="Normal"/>
    <w:rsid w:val="0094707F"/>
    <w:pPr>
      <w:pBdr>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78">
    <w:name w:val="xl178"/>
    <w:basedOn w:val="Normal"/>
    <w:rsid w:val="0094707F"/>
    <w:pPr>
      <w:pBdr>
        <w:bottom w:val="single" w:sz="4" w:space="0" w:color="auto"/>
      </w:pBdr>
      <w:shd w:val="clear" w:color="000000" w:fill="FFFFFF"/>
      <w:spacing w:before="100" w:beforeAutospacing="1" w:after="100" w:afterAutospacing="1"/>
      <w:jc w:val="center"/>
      <w:textAlignment w:val="center"/>
    </w:pPr>
    <w:rPr>
      <w:rFonts w:ascii="Times New Roman" w:hAnsi="Times New Roman"/>
      <w:b/>
      <w:bCs/>
      <w:sz w:val="16"/>
      <w:szCs w:val="16"/>
    </w:rPr>
  </w:style>
  <w:style w:type="paragraph" w:customStyle="1" w:styleId="xl179">
    <w:name w:val="xl179"/>
    <w:basedOn w:val="Normal"/>
    <w:rsid w:val="0094707F"/>
    <w:pPr>
      <w:pBdr>
        <w:left w:val="single" w:sz="4" w:space="0" w:color="auto"/>
        <w:bottom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80">
    <w:name w:val="xl180"/>
    <w:basedOn w:val="Normal"/>
    <w:rsid w:val="0094707F"/>
    <w:pPr>
      <w:pBdr>
        <w:bottom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81">
    <w:name w:val="xl181"/>
    <w:basedOn w:val="Normal"/>
    <w:rsid w:val="0094707F"/>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82">
    <w:name w:val="xl182"/>
    <w:basedOn w:val="Normal"/>
    <w:rsid w:val="0094707F"/>
    <w:pPr>
      <w:pBdr>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sz w:val="16"/>
      <w:szCs w:val="16"/>
    </w:rPr>
  </w:style>
  <w:style w:type="paragraph" w:customStyle="1" w:styleId="xl183">
    <w:name w:val="xl183"/>
    <w:basedOn w:val="Normal"/>
    <w:rsid w:val="0094707F"/>
    <w:pPr>
      <w:spacing w:before="100" w:beforeAutospacing="1" w:after="100" w:afterAutospacing="1"/>
      <w:jc w:val="center"/>
      <w:textAlignment w:val="center"/>
    </w:pPr>
    <w:rPr>
      <w:rFonts w:ascii="Calibri" w:hAnsi="Calibri"/>
      <w:color w:val="000000"/>
      <w:sz w:val="16"/>
      <w:szCs w:val="16"/>
    </w:rPr>
  </w:style>
  <w:style w:type="paragraph" w:customStyle="1" w:styleId="xl184">
    <w:name w:val="xl184"/>
    <w:basedOn w:val="Normal"/>
    <w:rsid w:val="0094707F"/>
    <w:pPr>
      <w:spacing w:before="100" w:beforeAutospacing="1" w:after="100" w:afterAutospacing="1"/>
      <w:jc w:val="center"/>
      <w:textAlignment w:val="center"/>
    </w:pPr>
    <w:rPr>
      <w:rFonts w:ascii="Calibri" w:hAnsi="Calibri"/>
      <w:b/>
      <w:bCs/>
      <w:sz w:val="16"/>
      <w:szCs w:val="16"/>
    </w:rPr>
  </w:style>
  <w:style w:type="paragraph" w:customStyle="1" w:styleId="xl185">
    <w:name w:val="xl185"/>
    <w:basedOn w:val="Normal"/>
    <w:rsid w:val="0094707F"/>
    <w:pPr>
      <w:pBdr>
        <w:top w:val="single" w:sz="4" w:space="0" w:color="auto"/>
        <w:left w:val="single" w:sz="4" w:space="0" w:color="auto"/>
      </w:pBdr>
      <w:spacing w:before="100" w:beforeAutospacing="1" w:after="100" w:afterAutospacing="1"/>
    </w:pPr>
    <w:rPr>
      <w:rFonts w:ascii="Calibri" w:hAnsi="Calibri"/>
      <w:color w:val="000000"/>
      <w:sz w:val="16"/>
      <w:szCs w:val="16"/>
    </w:rPr>
  </w:style>
  <w:style w:type="paragraph" w:customStyle="1" w:styleId="xl186">
    <w:name w:val="xl186"/>
    <w:basedOn w:val="Normal"/>
    <w:rsid w:val="0094707F"/>
    <w:pPr>
      <w:pBdr>
        <w:top w:val="single" w:sz="4" w:space="0" w:color="auto"/>
      </w:pBdr>
      <w:spacing w:before="100" w:beforeAutospacing="1" w:after="100" w:afterAutospacing="1"/>
    </w:pPr>
    <w:rPr>
      <w:rFonts w:ascii="Calibri" w:hAnsi="Calibri"/>
      <w:color w:val="000000"/>
      <w:sz w:val="16"/>
      <w:szCs w:val="16"/>
    </w:rPr>
  </w:style>
  <w:style w:type="paragraph" w:customStyle="1" w:styleId="xl187">
    <w:name w:val="xl187"/>
    <w:basedOn w:val="Normal"/>
    <w:rsid w:val="0094707F"/>
    <w:pPr>
      <w:spacing w:before="100" w:beforeAutospacing="1" w:after="100" w:afterAutospacing="1"/>
    </w:pPr>
    <w:rPr>
      <w:rFonts w:ascii="Calibri" w:hAnsi="Calibri"/>
      <w:color w:val="000000"/>
      <w:sz w:val="16"/>
      <w:szCs w:val="16"/>
    </w:rPr>
  </w:style>
  <w:style w:type="paragraph" w:customStyle="1" w:styleId="xl188">
    <w:name w:val="xl188"/>
    <w:basedOn w:val="Normal"/>
    <w:rsid w:val="0094707F"/>
    <w:pPr>
      <w:pBdr>
        <w:left w:val="single" w:sz="4" w:space="0" w:color="auto"/>
        <w:right w:val="single" w:sz="4" w:space="0" w:color="auto"/>
      </w:pBdr>
      <w:spacing w:before="100" w:beforeAutospacing="1" w:after="100" w:afterAutospacing="1"/>
    </w:pPr>
    <w:rPr>
      <w:rFonts w:ascii="Calibri" w:hAnsi="Calibri"/>
      <w:color w:val="000000"/>
      <w:sz w:val="16"/>
      <w:szCs w:val="16"/>
    </w:rPr>
  </w:style>
  <w:style w:type="paragraph" w:customStyle="1" w:styleId="xl189">
    <w:name w:val="xl189"/>
    <w:basedOn w:val="Normal"/>
    <w:rsid w:val="0094707F"/>
    <w:pPr>
      <w:pBdr>
        <w:left w:val="single" w:sz="4" w:space="0" w:color="auto"/>
      </w:pBdr>
      <w:spacing w:before="100" w:beforeAutospacing="1" w:after="100" w:afterAutospacing="1"/>
    </w:pPr>
    <w:rPr>
      <w:rFonts w:ascii="Calibri" w:hAnsi="Calibri"/>
      <w:color w:val="000000"/>
      <w:sz w:val="16"/>
      <w:szCs w:val="16"/>
    </w:rPr>
  </w:style>
  <w:style w:type="paragraph" w:customStyle="1" w:styleId="xl190">
    <w:name w:val="xl190"/>
    <w:basedOn w:val="Normal"/>
    <w:rsid w:val="0094707F"/>
    <w:pPr>
      <w:pBdr>
        <w:bottom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91">
    <w:name w:val="xl191"/>
    <w:basedOn w:val="Normal"/>
    <w:rsid w:val="0094707F"/>
    <w:pPr>
      <w:pBdr>
        <w:left w:val="single" w:sz="4" w:space="0" w:color="auto"/>
        <w:bottom w:val="single" w:sz="4" w:space="0" w:color="auto"/>
      </w:pBdr>
      <w:spacing w:before="100" w:beforeAutospacing="1" w:after="100" w:afterAutospacing="1"/>
    </w:pPr>
    <w:rPr>
      <w:rFonts w:ascii="Calibri" w:hAnsi="Calibri"/>
      <w:color w:val="000000"/>
      <w:sz w:val="16"/>
      <w:szCs w:val="16"/>
    </w:rPr>
  </w:style>
  <w:style w:type="paragraph" w:customStyle="1" w:styleId="xl192">
    <w:name w:val="xl192"/>
    <w:basedOn w:val="Normal"/>
    <w:rsid w:val="0094707F"/>
    <w:pPr>
      <w:pBdr>
        <w:bottom w:val="single" w:sz="4" w:space="0" w:color="auto"/>
      </w:pBdr>
      <w:spacing w:before="100" w:beforeAutospacing="1" w:after="100" w:afterAutospacing="1"/>
    </w:pPr>
    <w:rPr>
      <w:rFonts w:ascii="Calibri" w:hAnsi="Calibri"/>
      <w:color w:val="000000"/>
      <w:sz w:val="16"/>
      <w:szCs w:val="16"/>
    </w:rPr>
  </w:style>
  <w:style w:type="paragraph" w:customStyle="1" w:styleId="xl193">
    <w:name w:val="xl193"/>
    <w:basedOn w:val="Normal"/>
    <w:rsid w:val="0094707F"/>
    <w:pPr>
      <w:pBdr>
        <w:left w:val="single" w:sz="4" w:space="0" w:color="auto"/>
        <w:bottom w:val="single" w:sz="4" w:space="0" w:color="auto"/>
        <w:right w:val="single" w:sz="4" w:space="0" w:color="auto"/>
      </w:pBdr>
      <w:spacing w:before="100" w:beforeAutospacing="1" w:after="100" w:afterAutospacing="1"/>
    </w:pPr>
    <w:rPr>
      <w:rFonts w:ascii="Calibri" w:hAnsi="Calibri"/>
      <w:color w:val="000000"/>
      <w:sz w:val="16"/>
      <w:szCs w:val="16"/>
    </w:rPr>
  </w:style>
  <w:style w:type="paragraph" w:customStyle="1" w:styleId="xl194">
    <w:name w:val="xl194"/>
    <w:basedOn w:val="Normal"/>
    <w:rsid w:val="009470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6"/>
      <w:szCs w:val="16"/>
    </w:rPr>
  </w:style>
  <w:style w:type="paragraph" w:customStyle="1" w:styleId="xl195">
    <w:name w:val="xl195"/>
    <w:basedOn w:val="Normal"/>
    <w:rsid w:val="0094707F"/>
    <w:pPr>
      <w:pBdr>
        <w:top w:val="single" w:sz="4" w:space="0" w:color="auto"/>
        <w:left w:val="single" w:sz="4" w:space="0" w:color="auto"/>
        <w:right w:val="single" w:sz="4" w:space="0" w:color="auto"/>
      </w:pBdr>
      <w:spacing w:before="100" w:beforeAutospacing="1" w:after="100" w:afterAutospacing="1"/>
    </w:pPr>
    <w:rPr>
      <w:rFonts w:ascii="Calibri" w:hAnsi="Calibri"/>
      <w:color w:val="000000"/>
      <w:sz w:val="16"/>
      <w:szCs w:val="16"/>
    </w:rPr>
  </w:style>
  <w:style w:type="paragraph" w:customStyle="1" w:styleId="xl196">
    <w:name w:val="xl196"/>
    <w:basedOn w:val="Normal"/>
    <w:rsid w:val="0094707F"/>
    <w:pPr>
      <w:pBdr>
        <w:top w:val="single" w:sz="4" w:space="0" w:color="auto"/>
        <w:left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197">
    <w:name w:val="xl197"/>
    <w:basedOn w:val="Normal"/>
    <w:rsid w:val="0094707F"/>
    <w:pPr>
      <w:pBdr>
        <w:left w:val="single" w:sz="4" w:space="0" w:color="auto"/>
        <w:right w:val="single" w:sz="4" w:space="0" w:color="auto"/>
      </w:pBdr>
      <w:spacing w:before="100" w:beforeAutospacing="1" w:after="100" w:afterAutospacing="1"/>
      <w:jc w:val="center"/>
      <w:textAlignment w:val="center"/>
    </w:pPr>
    <w:rPr>
      <w:rFonts w:ascii="Calibri" w:hAnsi="Calibri"/>
      <w:color w:val="000000"/>
      <w:sz w:val="16"/>
      <w:szCs w:val="16"/>
    </w:rPr>
  </w:style>
  <w:style w:type="paragraph" w:customStyle="1" w:styleId="xl198">
    <w:name w:val="xl198"/>
    <w:basedOn w:val="Normal"/>
    <w:rsid w:val="0094707F"/>
    <w:pPr>
      <w:pBdr>
        <w:left w:val="single" w:sz="4" w:space="0" w:color="auto"/>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199">
    <w:name w:val="xl199"/>
    <w:basedOn w:val="Normal"/>
    <w:rsid w:val="0094707F"/>
    <w:pPr>
      <w:pBdr>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0">
    <w:name w:val="xl200"/>
    <w:basedOn w:val="Normal"/>
    <w:rsid w:val="009470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1">
    <w:name w:val="xl201"/>
    <w:basedOn w:val="Normal"/>
    <w:rsid w:val="0094707F"/>
    <w:pPr>
      <w:pBdr>
        <w:top w:val="single" w:sz="4" w:space="0" w:color="auto"/>
      </w:pBdr>
      <w:spacing w:before="100" w:beforeAutospacing="1" w:after="100" w:afterAutospacing="1"/>
      <w:textAlignment w:val="center"/>
    </w:pPr>
    <w:rPr>
      <w:rFonts w:ascii="Calibri" w:hAnsi="Calibri"/>
      <w:b/>
      <w:bCs/>
      <w:color w:val="000000"/>
      <w:sz w:val="16"/>
      <w:szCs w:val="16"/>
    </w:rPr>
  </w:style>
  <w:style w:type="paragraph" w:customStyle="1" w:styleId="xl202">
    <w:name w:val="xl202"/>
    <w:basedOn w:val="Normal"/>
    <w:rsid w:val="0094707F"/>
    <w:pPr>
      <w:spacing w:before="100" w:beforeAutospacing="1" w:after="100" w:afterAutospacing="1"/>
    </w:pPr>
    <w:rPr>
      <w:rFonts w:ascii="Calibri" w:hAnsi="Calibri"/>
      <w:b/>
      <w:bCs/>
      <w:color w:val="000000"/>
      <w:sz w:val="16"/>
      <w:szCs w:val="16"/>
    </w:rPr>
  </w:style>
  <w:style w:type="paragraph" w:customStyle="1" w:styleId="xl203">
    <w:name w:val="xl203"/>
    <w:basedOn w:val="Normal"/>
    <w:rsid w:val="009470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4">
    <w:name w:val="xl204"/>
    <w:basedOn w:val="Normal"/>
    <w:rsid w:val="0094707F"/>
    <w:pPr>
      <w:pBdr>
        <w:left w:val="single" w:sz="4" w:space="0" w:color="auto"/>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5">
    <w:name w:val="xl205"/>
    <w:basedOn w:val="Normal"/>
    <w:rsid w:val="0094707F"/>
    <w:pPr>
      <w:pBdr>
        <w:top w:val="single" w:sz="4" w:space="0" w:color="auto"/>
      </w:pBdr>
      <w:spacing w:before="100" w:beforeAutospacing="1" w:after="100" w:afterAutospacing="1"/>
      <w:textAlignment w:val="center"/>
    </w:pPr>
    <w:rPr>
      <w:rFonts w:ascii="Calibri" w:hAnsi="Calibri"/>
      <w:b/>
      <w:bCs/>
      <w:color w:val="000000"/>
      <w:sz w:val="16"/>
      <w:szCs w:val="16"/>
    </w:rPr>
  </w:style>
  <w:style w:type="paragraph" w:customStyle="1" w:styleId="xl206">
    <w:name w:val="xl206"/>
    <w:basedOn w:val="Normal"/>
    <w:rsid w:val="0094707F"/>
    <w:pPr>
      <w:pBdr>
        <w:right w:val="single" w:sz="4" w:space="0" w:color="auto"/>
      </w:pBdr>
      <w:spacing w:before="100" w:beforeAutospacing="1" w:after="100" w:afterAutospacing="1"/>
    </w:pPr>
    <w:rPr>
      <w:rFonts w:ascii="Calibri" w:hAnsi="Calibri"/>
      <w:color w:val="000000"/>
      <w:sz w:val="16"/>
      <w:szCs w:val="16"/>
    </w:rPr>
  </w:style>
  <w:style w:type="paragraph" w:customStyle="1" w:styleId="xl207">
    <w:name w:val="xl207"/>
    <w:basedOn w:val="Normal"/>
    <w:rsid w:val="0094707F"/>
    <w:pPr>
      <w:pBdr>
        <w:bottom w:val="single" w:sz="4" w:space="0" w:color="auto"/>
        <w:right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8">
    <w:name w:val="xl208"/>
    <w:basedOn w:val="Normal"/>
    <w:rsid w:val="0094707F"/>
    <w:pPr>
      <w:pBdr>
        <w:left w:val="single" w:sz="4" w:space="0" w:color="auto"/>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09">
    <w:name w:val="xl209"/>
    <w:basedOn w:val="Normal"/>
    <w:rsid w:val="0094707F"/>
    <w:pPr>
      <w:pBdr>
        <w:top w:val="single" w:sz="4" w:space="0" w:color="auto"/>
      </w:pBdr>
      <w:spacing w:before="100" w:beforeAutospacing="1" w:after="100" w:afterAutospacing="1"/>
      <w:textAlignment w:val="center"/>
    </w:pPr>
    <w:rPr>
      <w:rFonts w:ascii="Calibri" w:hAnsi="Calibri"/>
      <w:b/>
      <w:bCs/>
      <w:color w:val="000000"/>
      <w:sz w:val="16"/>
      <w:szCs w:val="16"/>
    </w:rPr>
  </w:style>
  <w:style w:type="paragraph" w:customStyle="1" w:styleId="xl210">
    <w:name w:val="xl210"/>
    <w:basedOn w:val="Normal"/>
    <w:rsid w:val="0094707F"/>
    <w:pPr>
      <w:pBdr>
        <w:left w:val="single" w:sz="4" w:space="0" w:color="auto"/>
        <w:right w:val="single" w:sz="4" w:space="0" w:color="auto"/>
      </w:pBdr>
      <w:spacing w:before="100" w:beforeAutospacing="1" w:after="100" w:afterAutospacing="1"/>
      <w:jc w:val="right"/>
    </w:pPr>
    <w:rPr>
      <w:rFonts w:ascii="Calibri" w:hAnsi="Calibri"/>
      <w:color w:val="000000"/>
      <w:sz w:val="16"/>
      <w:szCs w:val="16"/>
    </w:rPr>
  </w:style>
  <w:style w:type="paragraph" w:customStyle="1" w:styleId="xl211">
    <w:name w:val="xl211"/>
    <w:basedOn w:val="Normal"/>
    <w:rsid w:val="0094707F"/>
    <w:pPr>
      <w:pBdr>
        <w:left w:val="single" w:sz="4" w:space="0" w:color="auto"/>
      </w:pBdr>
      <w:spacing w:before="100" w:beforeAutospacing="1" w:after="100" w:afterAutospacing="1"/>
      <w:jc w:val="right"/>
    </w:pPr>
    <w:rPr>
      <w:rFonts w:ascii="Calibri" w:hAnsi="Calibri"/>
      <w:color w:val="000000"/>
      <w:sz w:val="16"/>
      <w:szCs w:val="16"/>
    </w:rPr>
  </w:style>
  <w:style w:type="paragraph" w:customStyle="1" w:styleId="xl212">
    <w:name w:val="xl212"/>
    <w:basedOn w:val="Normal"/>
    <w:rsid w:val="0094707F"/>
    <w:pPr>
      <w:pBdr>
        <w:bottom w:val="single" w:sz="4" w:space="0" w:color="auto"/>
      </w:pBdr>
      <w:spacing w:before="100" w:beforeAutospacing="1" w:after="100" w:afterAutospacing="1"/>
      <w:jc w:val="center"/>
      <w:textAlignment w:val="center"/>
    </w:pPr>
    <w:rPr>
      <w:rFonts w:ascii="Calibri" w:hAnsi="Calibri"/>
      <w:b/>
      <w:bCs/>
      <w:color w:val="000000"/>
      <w:sz w:val="16"/>
      <w:szCs w:val="16"/>
    </w:rPr>
  </w:style>
  <w:style w:type="paragraph" w:customStyle="1" w:styleId="xl213">
    <w:name w:val="xl213"/>
    <w:basedOn w:val="Normal"/>
    <w:rsid w:val="0094707F"/>
    <w:pPr>
      <w:pBdr>
        <w:top w:val="single" w:sz="4" w:space="0" w:color="auto"/>
      </w:pBdr>
      <w:spacing w:before="100" w:beforeAutospacing="1" w:after="100" w:afterAutospacing="1"/>
      <w:textAlignment w:val="center"/>
    </w:pPr>
    <w:rPr>
      <w:rFonts w:ascii="Calibri" w:hAnsi="Calibri"/>
      <w:b/>
      <w:bCs/>
      <w:color w:val="000000"/>
      <w:sz w:val="16"/>
      <w:szCs w:val="16"/>
    </w:rPr>
  </w:style>
  <w:style w:type="paragraph" w:styleId="Korrektur">
    <w:name w:val="Revision"/>
    <w:hidden/>
    <w:uiPriority w:val="99"/>
    <w:semiHidden/>
    <w:rsid w:val="0094707F"/>
    <w:rPr>
      <w:sz w:val="24"/>
      <w:szCs w:val="24"/>
      <w:lang w:eastAsia="en-US"/>
    </w:rPr>
  </w:style>
  <w:style w:type="paragraph" w:styleId="Overskrift">
    <w:name w:val="TOC Heading"/>
    <w:basedOn w:val="Overskrift1"/>
    <w:next w:val="Normal"/>
    <w:uiPriority w:val="39"/>
    <w:unhideWhenUsed/>
    <w:qFormat/>
    <w:rsid w:val="006D04C4"/>
    <w:pPr>
      <w:spacing w:before="240" w:line="259" w:lineRule="auto"/>
      <w:outlineLvl w:val="9"/>
    </w:pPr>
    <w:rPr>
      <w:rFonts w:asciiTheme="majorHAnsi" w:hAnsiTheme="majorHAnsi"/>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1158">
      <w:bodyDiv w:val="1"/>
      <w:marLeft w:val="0"/>
      <w:marRight w:val="0"/>
      <w:marTop w:val="0"/>
      <w:marBottom w:val="0"/>
      <w:divBdr>
        <w:top w:val="none" w:sz="0" w:space="0" w:color="auto"/>
        <w:left w:val="none" w:sz="0" w:space="0" w:color="auto"/>
        <w:bottom w:val="none" w:sz="0" w:space="0" w:color="auto"/>
        <w:right w:val="none" w:sz="0" w:space="0" w:color="auto"/>
      </w:divBdr>
    </w:div>
    <w:div w:id="42758163">
      <w:bodyDiv w:val="1"/>
      <w:marLeft w:val="0"/>
      <w:marRight w:val="0"/>
      <w:marTop w:val="0"/>
      <w:marBottom w:val="0"/>
      <w:divBdr>
        <w:top w:val="none" w:sz="0" w:space="0" w:color="auto"/>
        <w:left w:val="none" w:sz="0" w:space="0" w:color="auto"/>
        <w:bottom w:val="none" w:sz="0" w:space="0" w:color="auto"/>
        <w:right w:val="none" w:sz="0" w:space="0" w:color="auto"/>
      </w:divBdr>
    </w:div>
    <w:div w:id="75443543">
      <w:bodyDiv w:val="1"/>
      <w:marLeft w:val="0"/>
      <w:marRight w:val="0"/>
      <w:marTop w:val="0"/>
      <w:marBottom w:val="0"/>
      <w:divBdr>
        <w:top w:val="none" w:sz="0" w:space="0" w:color="auto"/>
        <w:left w:val="none" w:sz="0" w:space="0" w:color="auto"/>
        <w:bottom w:val="none" w:sz="0" w:space="0" w:color="auto"/>
        <w:right w:val="none" w:sz="0" w:space="0" w:color="auto"/>
      </w:divBdr>
    </w:div>
    <w:div w:id="84233663">
      <w:bodyDiv w:val="1"/>
      <w:marLeft w:val="0"/>
      <w:marRight w:val="0"/>
      <w:marTop w:val="0"/>
      <w:marBottom w:val="0"/>
      <w:divBdr>
        <w:top w:val="none" w:sz="0" w:space="0" w:color="auto"/>
        <w:left w:val="none" w:sz="0" w:space="0" w:color="auto"/>
        <w:bottom w:val="none" w:sz="0" w:space="0" w:color="auto"/>
        <w:right w:val="none" w:sz="0" w:space="0" w:color="auto"/>
      </w:divBdr>
    </w:div>
    <w:div w:id="112217104">
      <w:bodyDiv w:val="1"/>
      <w:marLeft w:val="0"/>
      <w:marRight w:val="0"/>
      <w:marTop w:val="0"/>
      <w:marBottom w:val="0"/>
      <w:divBdr>
        <w:top w:val="none" w:sz="0" w:space="0" w:color="auto"/>
        <w:left w:val="none" w:sz="0" w:space="0" w:color="auto"/>
        <w:bottom w:val="none" w:sz="0" w:space="0" w:color="auto"/>
        <w:right w:val="none" w:sz="0" w:space="0" w:color="auto"/>
      </w:divBdr>
    </w:div>
    <w:div w:id="141191236">
      <w:bodyDiv w:val="1"/>
      <w:marLeft w:val="0"/>
      <w:marRight w:val="0"/>
      <w:marTop w:val="0"/>
      <w:marBottom w:val="0"/>
      <w:divBdr>
        <w:top w:val="none" w:sz="0" w:space="0" w:color="auto"/>
        <w:left w:val="none" w:sz="0" w:space="0" w:color="auto"/>
        <w:bottom w:val="none" w:sz="0" w:space="0" w:color="auto"/>
        <w:right w:val="none" w:sz="0" w:space="0" w:color="auto"/>
      </w:divBdr>
    </w:div>
    <w:div w:id="214201568">
      <w:bodyDiv w:val="1"/>
      <w:marLeft w:val="0"/>
      <w:marRight w:val="0"/>
      <w:marTop w:val="0"/>
      <w:marBottom w:val="0"/>
      <w:divBdr>
        <w:top w:val="none" w:sz="0" w:space="0" w:color="auto"/>
        <w:left w:val="none" w:sz="0" w:space="0" w:color="auto"/>
        <w:bottom w:val="none" w:sz="0" w:space="0" w:color="auto"/>
        <w:right w:val="none" w:sz="0" w:space="0" w:color="auto"/>
      </w:divBdr>
    </w:div>
    <w:div w:id="235481090">
      <w:bodyDiv w:val="1"/>
      <w:marLeft w:val="0"/>
      <w:marRight w:val="0"/>
      <w:marTop w:val="0"/>
      <w:marBottom w:val="0"/>
      <w:divBdr>
        <w:top w:val="none" w:sz="0" w:space="0" w:color="auto"/>
        <w:left w:val="none" w:sz="0" w:space="0" w:color="auto"/>
        <w:bottom w:val="none" w:sz="0" w:space="0" w:color="auto"/>
        <w:right w:val="none" w:sz="0" w:space="0" w:color="auto"/>
      </w:divBdr>
    </w:div>
    <w:div w:id="259148722">
      <w:bodyDiv w:val="1"/>
      <w:marLeft w:val="0"/>
      <w:marRight w:val="0"/>
      <w:marTop w:val="0"/>
      <w:marBottom w:val="0"/>
      <w:divBdr>
        <w:top w:val="none" w:sz="0" w:space="0" w:color="auto"/>
        <w:left w:val="none" w:sz="0" w:space="0" w:color="auto"/>
        <w:bottom w:val="none" w:sz="0" w:space="0" w:color="auto"/>
        <w:right w:val="none" w:sz="0" w:space="0" w:color="auto"/>
      </w:divBdr>
    </w:div>
    <w:div w:id="265577452">
      <w:bodyDiv w:val="1"/>
      <w:marLeft w:val="0"/>
      <w:marRight w:val="0"/>
      <w:marTop w:val="0"/>
      <w:marBottom w:val="0"/>
      <w:divBdr>
        <w:top w:val="none" w:sz="0" w:space="0" w:color="auto"/>
        <w:left w:val="none" w:sz="0" w:space="0" w:color="auto"/>
        <w:bottom w:val="none" w:sz="0" w:space="0" w:color="auto"/>
        <w:right w:val="none" w:sz="0" w:space="0" w:color="auto"/>
      </w:divBdr>
    </w:div>
    <w:div w:id="277759562">
      <w:bodyDiv w:val="1"/>
      <w:marLeft w:val="0"/>
      <w:marRight w:val="0"/>
      <w:marTop w:val="0"/>
      <w:marBottom w:val="0"/>
      <w:divBdr>
        <w:top w:val="none" w:sz="0" w:space="0" w:color="auto"/>
        <w:left w:val="none" w:sz="0" w:space="0" w:color="auto"/>
        <w:bottom w:val="none" w:sz="0" w:space="0" w:color="auto"/>
        <w:right w:val="none" w:sz="0" w:space="0" w:color="auto"/>
      </w:divBdr>
    </w:div>
    <w:div w:id="287321120">
      <w:bodyDiv w:val="1"/>
      <w:marLeft w:val="0"/>
      <w:marRight w:val="0"/>
      <w:marTop w:val="0"/>
      <w:marBottom w:val="0"/>
      <w:divBdr>
        <w:top w:val="none" w:sz="0" w:space="0" w:color="auto"/>
        <w:left w:val="none" w:sz="0" w:space="0" w:color="auto"/>
        <w:bottom w:val="none" w:sz="0" w:space="0" w:color="auto"/>
        <w:right w:val="none" w:sz="0" w:space="0" w:color="auto"/>
      </w:divBdr>
    </w:div>
    <w:div w:id="397678209">
      <w:bodyDiv w:val="1"/>
      <w:marLeft w:val="0"/>
      <w:marRight w:val="0"/>
      <w:marTop w:val="0"/>
      <w:marBottom w:val="0"/>
      <w:divBdr>
        <w:top w:val="none" w:sz="0" w:space="0" w:color="auto"/>
        <w:left w:val="none" w:sz="0" w:space="0" w:color="auto"/>
        <w:bottom w:val="none" w:sz="0" w:space="0" w:color="auto"/>
        <w:right w:val="none" w:sz="0" w:space="0" w:color="auto"/>
      </w:divBdr>
    </w:div>
    <w:div w:id="403339312">
      <w:bodyDiv w:val="1"/>
      <w:marLeft w:val="0"/>
      <w:marRight w:val="0"/>
      <w:marTop w:val="0"/>
      <w:marBottom w:val="0"/>
      <w:divBdr>
        <w:top w:val="none" w:sz="0" w:space="0" w:color="auto"/>
        <w:left w:val="none" w:sz="0" w:space="0" w:color="auto"/>
        <w:bottom w:val="none" w:sz="0" w:space="0" w:color="auto"/>
        <w:right w:val="none" w:sz="0" w:space="0" w:color="auto"/>
      </w:divBdr>
    </w:div>
    <w:div w:id="416512334">
      <w:bodyDiv w:val="1"/>
      <w:marLeft w:val="0"/>
      <w:marRight w:val="0"/>
      <w:marTop w:val="0"/>
      <w:marBottom w:val="0"/>
      <w:divBdr>
        <w:top w:val="none" w:sz="0" w:space="0" w:color="auto"/>
        <w:left w:val="none" w:sz="0" w:space="0" w:color="auto"/>
        <w:bottom w:val="none" w:sz="0" w:space="0" w:color="auto"/>
        <w:right w:val="none" w:sz="0" w:space="0" w:color="auto"/>
      </w:divBdr>
    </w:div>
    <w:div w:id="418453764">
      <w:bodyDiv w:val="1"/>
      <w:marLeft w:val="0"/>
      <w:marRight w:val="0"/>
      <w:marTop w:val="0"/>
      <w:marBottom w:val="0"/>
      <w:divBdr>
        <w:top w:val="none" w:sz="0" w:space="0" w:color="auto"/>
        <w:left w:val="none" w:sz="0" w:space="0" w:color="auto"/>
        <w:bottom w:val="none" w:sz="0" w:space="0" w:color="auto"/>
        <w:right w:val="none" w:sz="0" w:space="0" w:color="auto"/>
      </w:divBdr>
    </w:div>
    <w:div w:id="419301840">
      <w:bodyDiv w:val="1"/>
      <w:marLeft w:val="0"/>
      <w:marRight w:val="0"/>
      <w:marTop w:val="0"/>
      <w:marBottom w:val="0"/>
      <w:divBdr>
        <w:top w:val="none" w:sz="0" w:space="0" w:color="auto"/>
        <w:left w:val="none" w:sz="0" w:space="0" w:color="auto"/>
        <w:bottom w:val="none" w:sz="0" w:space="0" w:color="auto"/>
        <w:right w:val="none" w:sz="0" w:space="0" w:color="auto"/>
      </w:divBdr>
    </w:div>
    <w:div w:id="420487770">
      <w:bodyDiv w:val="1"/>
      <w:marLeft w:val="0"/>
      <w:marRight w:val="0"/>
      <w:marTop w:val="0"/>
      <w:marBottom w:val="0"/>
      <w:divBdr>
        <w:top w:val="none" w:sz="0" w:space="0" w:color="auto"/>
        <w:left w:val="none" w:sz="0" w:space="0" w:color="auto"/>
        <w:bottom w:val="none" w:sz="0" w:space="0" w:color="auto"/>
        <w:right w:val="none" w:sz="0" w:space="0" w:color="auto"/>
      </w:divBdr>
    </w:div>
    <w:div w:id="462389000">
      <w:bodyDiv w:val="1"/>
      <w:marLeft w:val="0"/>
      <w:marRight w:val="0"/>
      <w:marTop w:val="0"/>
      <w:marBottom w:val="0"/>
      <w:divBdr>
        <w:top w:val="none" w:sz="0" w:space="0" w:color="auto"/>
        <w:left w:val="none" w:sz="0" w:space="0" w:color="auto"/>
        <w:bottom w:val="none" w:sz="0" w:space="0" w:color="auto"/>
        <w:right w:val="none" w:sz="0" w:space="0" w:color="auto"/>
      </w:divBdr>
    </w:div>
    <w:div w:id="516385262">
      <w:bodyDiv w:val="1"/>
      <w:marLeft w:val="0"/>
      <w:marRight w:val="0"/>
      <w:marTop w:val="0"/>
      <w:marBottom w:val="0"/>
      <w:divBdr>
        <w:top w:val="none" w:sz="0" w:space="0" w:color="auto"/>
        <w:left w:val="none" w:sz="0" w:space="0" w:color="auto"/>
        <w:bottom w:val="none" w:sz="0" w:space="0" w:color="auto"/>
        <w:right w:val="none" w:sz="0" w:space="0" w:color="auto"/>
      </w:divBdr>
    </w:div>
    <w:div w:id="522592998">
      <w:bodyDiv w:val="1"/>
      <w:marLeft w:val="0"/>
      <w:marRight w:val="0"/>
      <w:marTop w:val="0"/>
      <w:marBottom w:val="0"/>
      <w:divBdr>
        <w:top w:val="none" w:sz="0" w:space="0" w:color="auto"/>
        <w:left w:val="none" w:sz="0" w:space="0" w:color="auto"/>
        <w:bottom w:val="none" w:sz="0" w:space="0" w:color="auto"/>
        <w:right w:val="none" w:sz="0" w:space="0" w:color="auto"/>
      </w:divBdr>
    </w:div>
    <w:div w:id="568732600">
      <w:bodyDiv w:val="1"/>
      <w:marLeft w:val="0"/>
      <w:marRight w:val="0"/>
      <w:marTop w:val="0"/>
      <w:marBottom w:val="0"/>
      <w:divBdr>
        <w:top w:val="none" w:sz="0" w:space="0" w:color="auto"/>
        <w:left w:val="none" w:sz="0" w:space="0" w:color="auto"/>
        <w:bottom w:val="none" w:sz="0" w:space="0" w:color="auto"/>
        <w:right w:val="none" w:sz="0" w:space="0" w:color="auto"/>
      </w:divBdr>
    </w:div>
    <w:div w:id="587037958">
      <w:bodyDiv w:val="1"/>
      <w:marLeft w:val="0"/>
      <w:marRight w:val="0"/>
      <w:marTop w:val="0"/>
      <w:marBottom w:val="0"/>
      <w:divBdr>
        <w:top w:val="none" w:sz="0" w:space="0" w:color="auto"/>
        <w:left w:val="none" w:sz="0" w:space="0" w:color="auto"/>
        <w:bottom w:val="none" w:sz="0" w:space="0" w:color="auto"/>
        <w:right w:val="none" w:sz="0" w:space="0" w:color="auto"/>
      </w:divBdr>
    </w:div>
    <w:div w:id="619532832">
      <w:bodyDiv w:val="1"/>
      <w:marLeft w:val="0"/>
      <w:marRight w:val="0"/>
      <w:marTop w:val="0"/>
      <w:marBottom w:val="0"/>
      <w:divBdr>
        <w:top w:val="none" w:sz="0" w:space="0" w:color="auto"/>
        <w:left w:val="none" w:sz="0" w:space="0" w:color="auto"/>
        <w:bottom w:val="none" w:sz="0" w:space="0" w:color="auto"/>
        <w:right w:val="none" w:sz="0" w:space="0" w:color="auto"/>
      </w:divBdr>
    </w:div>
    <w:div w:id="637298479">
      <w:bodyDiv w:val="1"/>
      <w:marLeft w:val="0"/>
      <w:marRight w:val="0"/>
      <w:marTop w:val="0"/>
      <w:marBottom w:val="0"/>
      <w:divBdr>
        <w:top w:val="none" w:sz="0" w:space="0" w:color="auto"/>
        <w:left w:val="none" w:sz="0" w:space="0" w:color="auto"/>
        <w:bottom w:val="none" w:sz="0" w:space="0" w:color="auto"/>
        <w:right w:val="none" w:sz="0" w:space="0" w:color="auto"/>
      </w:divBdr>
    </w:div>
    <w:div w:id="669986036">
      <w:bodyDiv w:val="1"/>
      <w:marLeft w:val="0"/>
      <w:marRight w:val="0"/>
      <w:marTop w:val="0"/>
      <w:marBottom w:val="0"/>
      <w:divBdr>
        <w:top w:val="none" w:sz="0" w:space="0" w:color="auto"/>
        <w:left w:val="none" w:sz="0" w:space="0" w:color="auto"/>
        <w:bottom w:val="none" w:sz="0" w:space="0" w:color="auto"/>
        <w:right w:val="none" w:sz="0" w:space="0" w:color="auto"/>
      </w:divBdr>
    </w:div>
    <w:div w:id="670913677">
      <w:bodyDiv w:val="1"/>
      <w:marLeft w:val="0"/>
      <w:marRight w:val="0"/>
      <w:marTop w:val="0"/>
      <w:marBottom w:val="0"/>
      <w:divBdr>
        <w:top w:val="none" w:sz="0" w:space="0" w:color="auto"/>
        <w:left w:val="none" w:sz="0" w:space="0" w:color="auto"/>
        <w:bottom w:val="none" w:sz="0" w:space="0" w:color="auto"/>
        <w:right w:val="none" w:sz="0" w:space="0" w:color="auto"/>
      </w:divBdr>
    </w:div>
    <w:div w:id="680400191">
      <w:bodyDiv w:val="1"/>
      <w:marLeft w:val="0"/>
      <w:marRight w:val="0"/>
      <w:marTop w:val="0"/>
      <w:marBottom w:val="0"/>
      <w:divBdr>
        <w:top w:val="none" w:sz="0" w:space="0" w:color="auto"/>
        <w:left w:val="none" w:sz="0" w:space="0" w:color="auto"/>
        <w:bottom w:val="none" w:sz="0" w:space="0" w:color="auto"/>
        <w:right w:val="none" w:sz="0" w:space="0" w:color="auto"/>
      </w:divBdr>
    </w:div>
    <w:div w:id="721252249">
      <w:bodyDiv w:val="1"/>
      <w:marLeft w:val="0"/>
      <w:marRight w:val="0"/>
      <w:marTop w:val="0"/>
      <w:marBottom w:val="0"/>
      <w:divBdr>
        <w:top w:val="none" w:sz="0" w:space="0" w:color="auto"/>
        <w:left w:val="none" w:sz="0" w:space="0" w:color="auto"/>
        <w:bottom w:val="none" w:sz="0" w:space="0" w:color="auto"/>
        <w:right w:val="none" w:sz="0" w:space="0" w:color="auto"/>
      </w:divBdr>
    </w:div>
    <w:div w:id="738140381">
      <w:bodyDiv w:val="1"/>
      <w:marLeft w:val="0"/>
      <w:marRight w:val="0"/>
      <w:marTop w:val="0"/>
      <w:marBottom w:val="0"/>
      <w:divBdr>
        <w:top w:val="none" w:sz="0" w:space="0" w:color="auto"/>
        <w:left w:val="none" w:sz="0" w:space="0" w:color="auto"/>
        <w:bottom w:val="none" w:sz="0" w:space="0" w:color="auto"/>
        <w:right w:val="none" w:sz="0" w:space="0" w:color="auto"/>
      </w:divBdr>
    </w:div>
    <w:div w:id="773398044">
      <w:bodyDiv w:val="1"/>
      <w:marLeft w:val="0"/>
      <w:marRight w:val="0"/>
      <w:marTop w:val="0"/>
      <w:marBottom w:val="0"/>
      <w:divBdr>
        <w:top w:val="none" w:sz="0" w:space="0" w:color="auto"/>
        <w:left w:val="none" w:sz="0" w:space="0" w:color="auto"/>
        <w:bottom w:val="none" w:sz="0" w:space="0" w:color="auto"/>
        <w:right w:val="none" w:sz="0" w:space="0" w:color="auto"/>
      </w:divBdr>
    </w:div>
    <w:div w:id="844977209">
      <w:bodyDiv w:val="1"/>
      <w:marLeft w:val="0"/>
      <w:marRight w:val="0"/>
      <w:marTop w:val="0"/>
      <w:marBottom w:val="0"/>
      <w:divBdr>
        <w:top w:val="none" w:sz="0" w:space="0" w:color="auto"/>
        <w:left w:val="none" w:sz="0" w:space="0" w:color="auto"/>
        <w:bottom w:val="none" w:sz="0" w:space="0" w:color="auto"/>
        <w:right w:val="none" w:sz="0" w:space="0" w:color="auto"/>
      </w:divBdr>
    </w:div>
    <w:div w:id="849176932">
      <w:bodyDiv w:val="1"/>
      <w:marLeft w:val="0"/>
      <w:marRight w:val="0"/>
      <w:marTop w:val="0"/>
      <w:marBottom w:val="0"/>
      <w:divBdr>
        <w:top w:val="none" w:sz="0" w:space="0" w:color="auto"/>
        <w:left w:val="none" w:sz="0" w:space="0" w:color="auto"/>
        <w:bottom w:val="none" w:sz="0" w:space="0" w:color="auto"/>
        <w:right w:val="none" w:sz="0" w:space="0" w:color="auto"/>
      </w:divBdr>
    </w:div>
    <w:div w:id="892346587">
      <w:bodyDiv w:val="1"/>
      <w:marLeft w:val="0"/>
      <w:marRight w:val="0"/>
      <w:marTop w:val="0"/>
      <w:marBottom w:val="0"/>
      <w:divBdr>
        <w:top w:val="none" w:sz="0" w:space="0" w:color="auto"/>
        <w:left w:val="none" w:sz="0" w:space="0" w:color="auto"/>
        <w:bottom w:val="none" w:sz="0" w:space="0" w:color="auto"/>
        <w:right w:val="none" w:sz="0" w:space="0" w:color="auto"/>
      </w:divBdr>
    </w:div>
    <w:div w:id="954479783">
      <w:bodyDiv w:val="1"/>
      <w:marLeft w:val="0"/>
      <w:marRight w:val="0"/>
      <w:marTop w:val="0"/>
      <w:marBottom w:val="0"/>
      <w:divBdr>
        <w:top w:val="none" w:sz="0" w:space="0" w:color="auto"/>
        <w:left w:val="none" w:sz="0" w:space="0" w:color="auto"/>
        <w:bottom w:val="none" w:sz="0" w:space="0" w:color="auto"/>
        <w:right w:val="none" w:sz="0" w:space="0" w:color="auto"/>
      </w:divBdr>
    </w:div>
    <w:div w:id="1111050336">
      <w:bodyDiv w:val="1"/>
      <w:marLeft w:val="0"/>
      <w:marRight w:val="0"/>
      <w:marTop w:val="0"/>
      <w:marBottom w:val="0"/>
      <w:divBdr>
        <w:top w:val="none" w:sz="0" w:space="0" w:color="auto"/>
        <w:left w:val="none" w:sz="0" w:space="0" w:color="auto"/>
        <w:bottom w:val="none" w:sz="0" w:space="0" w:color="auto"/>
        <w:right w:val="none" w:sz="0" w:space="0" w:color="auto"/>
      </w:divBdr>
    </w:div>
    <w:div w:id="1134175241">
      <w:bodyDiv w:val="1"/>
      <w:marLeft w:val="0"/>
      <w:marRight w:val="0"/>
      <w:marTop w:val="0"/>
      <w:marBottom w:val="0"/>
      <w:divBdr>
        <w:top w:val="none" w:sz="0" w:space="0" w:color="auto"/>
        <w:left w:val="none" w:sz="0" w:space="0" w:color="auto"/>
        <w:bottom w:val="none" w:sz="0" w:space="0" w:color="auto"/>
        <w:right w:val="none" w:sz="0" w:space="0" w:color="auto"/>
      </w:divBdr>
    </w:div>
    <w:div w:id="1139767569">
      <w:bodyDiv w:val="1"/>
      <w:marLeft w:val="0"/>
      <w:marRight w:val="0"/>
      <w:marTop w:val="0"/>
      <w:marBottom w:val="0"/>
      <w:divBdr>
        <w:top w:val="none" w:sz="0" w:space="0" w:color="auto"/>
        <w:left w:val="none" w:sz="0" w:space="0" w:color="auto"/>
        <w:bottom w:val="none" w:sz="0" w:space="0" w:color="auto"/>
        <w:right w:val="none" w:sz="0" w:space="0" w:color="auto"/>
      </w:divBdr>
    </w:div>
    <w:div w:id="1151824919">
      <w:bodyDiv w:val="1"/>
      <w:marLeft w:val="0"/>
      <w:marRight w:val="0"/>
      <w:marTop w:val="0"/>
      <w:marBottom w:val="0"/>
      <w:divBdr>
        <w:top w:val="none" w:sz="0" w:space="0" w:color="auto"/>
        <w:left w:val="none" w:sz="0" w:space="0" w:color="auto"/>
        <w:bottom w:val="none" w:sz="0" w:space="0" w:color="auto"/>
        <w:right w:val="none" w:sz="0" w:space="0" w:color="auto"/>
      </w:divBdr>
    </w:div>
    <w:div w:id="1177844084">
      <w:bodyDiv w:val="1"/>
      <w:marLeft w:val="0"/>
      <w:marRight w:val="0"/>
      <w:marTop w:val="0"/>
      <w:marBottom w:val="0"/>
      <w:divBdr>
        <w:top w:val="none" w:sz="0" w:space="0" w:color="auto"/>
        <w:left w:val="none" w:sz="0" w:space="0" w:color="auto"/>
        <w:bottom w:val="none" w:sz="0" w:space="0" w:color="auto"/>
        <w:right w:val="none" w:sz="0" w:space="0" w:color="auto"/>
      </w:divBdr>
    </w:div>
    <w:div w:id="1196038510">
      <w:bodyDiv w:val="1"/>
      <w:marLeft w:val="0"/>
      <w:marRight w:val="0"/>
      <w:marTop w:val="0"/>
      <w:marBottom w:val="0"/>
      <w:divBdr>
        <w:top w:val="none" w:sz="0" w:space="0" w:color="auto"/>
        <w:left w:val="none" w:sz="0" w:space="0" w:color="auto"/>
        <w:bottom w:val="none" w:sz="0" w:space="0" w:color="auto"/>
        <w:right w:val="none" w:sz="0" w:space="0" w:color="auto"/>
      </w:divBdr>
    </w:div>
    <w:div w:id="1233616252">
      <w:bodyDiv w:val="1"/>
      <w:marLeft w:val="0"/>
      <w:marRight w:val="0"/>
      <w:marTop w:val="0"/>
      <w:marBottom w:val="0"/>
      <w:divBdr>
        <w:top w:val="none" w:sz="0" w:space="0" w:color="auto"/>
        <w:left w:val="none" w:sz="0" w:space="0" w:color="auto"/>
        <w:bottom w:val="none" w:sz="0" w:space="0" w:color="auto"/>
        <w:right w:val="none" w:sz="0" w:space="0" w:color="auto"/>
      </w:divBdr>
    </w:div>
    <w:div w:id="1239169448">
      <w:bodyDiv w:val="1"/>
      <w:marLeft w:val="0"/>
      <w:marRight w:val="0"/>
      <w:marTop w:val="0"/>
      <w:marBottom w:val="0"/>
      <w:divBdr>
        <w:top w:val="none" w:sz="0" w:space="0" w:color="auto"/>
        <w:left w:val="none" w:sz="0" w:space="0" w:color="auto"/>
        <w:bottom w:val="none" w:sz="0" w:space="0" w:color="auto"/>
        <w:right w:val="none" w:sz="0" w:space="0" w:color="auto"/>
      </w:divBdr>
    </w:div>
    <w:div w:id="1256939115">
      <w:bodyDiv w:val="1"/>
      <w:marLeft w:val="0"/>
      <w:marRight w:val="0"/>
      <w:marTop w:val="0"/>
      <w:marBottom w:val="0"/>
      <w:divBdr>
        <w:top w:val="none" w:sz="0" w:space="0" w:color="auto"/>
        <w:left w:val="none" w:sz="0" w:space="0" w:color="auto"/>
        <w:bottom w:val="none" w:sz="0" w:space="0" w:color="auto"/>
        <w:right w:val="none" w:sz="0" w:space="0" w:color="auto"/>
      </w:divBdr>
    </w:div>
    <w:div w:id="1319991041">
      <w:bodyDiv w:val="1"/>
      <w:marLeft w:val="0"/>
      <w:marRight w:val="0"/>
      <w:marTop w:val="0"/>
      <w:marBottom w:val="0"/>
      <w:divBdr>
        <w:top w:val="none" w:sz="0" w:space="0" w:color="auto"/>
        <w:left w:val="none" w:sz="0" w:space="0" w:color="auto"/>
        <w:bottom w:val="none" w:sz="0" w:space="0" w:color="auto"/>
        <w:right w:val="none" w:sz="0" w:space="0" w:color="auto"/>
      </w:divBdr>
    </w:div>
    <w:div w:id="1357000946">
      <w:bodyDiv w:val="1"/>
      <w:marLeft w:val="0"/>
      <w:marRight w:val="0"/>
      <w:marTop w:val="0"/>
      <w:marBottom w:val="0"/>
      <w:divBdr>
        <w:top w:val="none" w:sz="0" w:space="0" w:color="auto"/>
        <w:left w:val="none" w:sz="0" w:space="0" w:color="auto"/>
        <w:bottom w:val="none" w:sz="0" w:space="0" w:color="auto"/>
        <w:right w:val="none" w:sz="0" w:space="0" w:color="auto"/>
      </w:divBdr>
    </w:div>
    <w:div w:id="1415972070">
      <w:bodyDiv w:val="1"/>
      <w:marLeft w:val="0"/>
      <w:marRight w:val="0"/>
      <w:marTop w:val="0"/>
      <w:marBottom w:val="0"/>
      <w:divBdr>
        <w:top w:val="none" w:sz="0" w:space="0" w:color="auto"/>
        <w:left w:val="none" w:sz="0" w:space="0" w:color="auto"/>
        <w:bottom w:val="none" w:sz="0" w:space="0" w:color="auto"/>
        <w:right w:val="none" w:sz="0" w:space="0" w:color="auto"/>
      </w:divBdr>
    </w:div>
    <w:div w:id="1446076081">
      <w:bodyDiv w:val="1"/>
      <w:marLeft w:val="0"/>
      <w:marRight w:val="0"/>
      <w:marTop w:val="0"/>
      <w:marBottom w:val="0"/>
      <w:divBdr>
        <w:top w:val="none" w:sz="0" w:space="0" w:color="auto"/>
        <w:left w:val="none" w:sz="0" w:space="0" w:color="auto"/>
        <w:bottom w:val="none" w:sz="0" w:space="0" w:color="auto"/>
        <w:right w:val="none" w:sz="0" w:space="0" w:color="auto"/>
      </w:divBdr>
    </w:div>
    <w:div w:id="1451119968">
      <w:bodyDiv w:val="1"/>
      <w:marLeft w:val="0"/>
      <w:marRight w:val="0"/>
      <w:marTop w:val="0"/>
      <w:marBottom w:val="0"/>
      <w:divBdr>
        <w:top w:val="none" w:sz="0" w:space="0" w:color="auto"/>
        <w:left w:val="none" w:sz="0" w:space="0" w:color="auto"/>
        <w:bottom w:val="none" w:sz="0" w:space="0" w:color="auto"/>
        <w:right w:val="none" w:sz="0" w:space="0" w:color="auto"/>
      </w:divBdr>
    </w:div>
    <w:div w:id="1470826094">
      <w:bodyDiv w:val="1"/>
      <w:marLeft w:val="0"/>
      <w:marRight w:val="0"/>
      <w:marTop w:val="0"/>
      <w:marBottom w:val="0"/>
      <w:divBdr>
        <w:top w:val="none" w:sz="0" w:space="0" w:color="auto"/>
        <w:left w:val="none" w:sz="0" w:space="0" w:color="auto"/>
        <w:bottom w:val="none" w:sz="0" w:space="0" w:color="auto"/>
        <w:right w:val="none" w:sz="0" w:space="0" w:color="auto"/>
      </w:divBdr>
    </w:div>
    <w:div w:id="1484539150">
      <w:bodyDiv w:val="1"/>
      <w:marLeft w:val="0"/>
      <w:marRight w:val="0"/>
      <w:marTop w:val="0"/>
      <w:marBottom w:val="0"/>
      <w:divBdr>
        <w:top w:val="none" w:sz="0" w:space="0" w:color="auto"/>
        <w:left w:val="none" w:sz="0" w:space="0" w:color="auto"/>
        <w:bottom w:val="none" w:sz="0" w:space="0" w:color="auto"/>
        <w:right w:val="none" w:sz="0" w:space="0" w:color="auto"/>
      </w:divBdr>
    </w:div>
    <w:div w:id="1503470541">
      <w:bodyDiv w:val="1"/>
      <w:marLeft w:val="0"/>
      <w:marRight w:val="0"/>
      <w:marTop w:val="0"/>
      <w:marBottom w:val="0"/>
      <w:divBdr>
        <w:top w:val="none" w:sz="0" w:space="0" w:color="auto"/>
        <w:left w:val="none" w:sz="0" w:space="0" w:color="auto"/>
        <w:bottom w:val="none" w:sz="0" w:space="0" w:color="auto"/>
        <w:right w:val="none" w:sz="0" w:space="0" w:color="auto"/>
      </w:divBdr>
    </w:div>
    <w:div w:id="1512722432">
      <w:bodyDiv w:val="1"/>
      <w:marLeft w:val="0"/>
      <w:marRight w:val="0"/>
      <w:marTop w:val="0"/>
      <w:marBottom w:val="0"/>
      <w:divBdr>
        <w:top w:val="none" w:sz="0" w:space="0" w:color="auto"/>
        <w:left w:val="none" w:sz="0" w:space="0" w:color="auto"/>
        <w:bottom w:val="none" w:sz="0" w:space="0" w:color="auto"/>
        <w:right w:val="none" w:sz="0" w:space="0" w:color="auto"/>
      </w:divBdr>
    </w:div>
    <w:div w:id="1528371988">
      <w:bodyDiv w:val="1"/>
      <w:marLeft w:val="0"/>
      <w:marRight w:val="0"/>
      <w:marTop w:val="0"/>
      <w:marBottom w:val="0"/>
      <w:divBdr>
        <w:top w:val="none" w:sz="0" w:space="0" w:color="auto"/>
        <w:left w:val="none" w:sz="0" w:space="0" w:color="auto"/>
        <w:bottom w:val="none" w:sz="0" w:space="0" w:color="auto"/>
        <w:right w:val="none" w:sz="0" w:space="0" w:color="auto"/>
      </w:divBdr>
    </w:div>
    <w:div w:id="1553536443">
      <w:bodyDiv w:val="1"/>
      <w:marLeft w:val="0"/>
      <w:marRight w:val="0"/>
      <w:marTop w:val="0"/>
      <w:marBottom w:val="0"/>
      <w:divBdr>
        <w:top w:val="none" w:sz="0" w:space="0" w:color="auto"/>
        <w:left w:val="none" w:sz="0" w:space="0" w:color="auto"/>
        <w:bottom w:val="none" w:sz="0" w:space="0" w:color="auto"/>
        <w:right w:val="none" w:sz="0" w:space="0" w:color="auto"/>
      </w:divBdr>
    </w:div>
    <w:div w:id="1579091749">
      <w:bodyDiv w:val="1"/>
      <w:marLeft w:val="0"/>
      <w:marRight w:val="0"/>
      <w:marTop w:val="0"/>
      <w:marBottom w:val="0"/>
      <w:divBdr>
        <w:top w:val="none" w:sz="0" w:space="0" w:color="auto"/>
        <w:left w:val="none" w:sz="0" w:space="0" w:color="auto"/>
        <w:bottom w:val="none" w:sz="0" w:space="0" w:color="auto"/>
        <w:right w:val="none" w:sz="0" w:space="0" w:color="auto"/>
      </w:divBdr>
    </w:div>
    <w:div w:id="1632587948">
      <w:bodyDiv w:val="1"/>
      <w:marLeft w:val="0"/>
      <w:marRight w:val="0"/>
      <w:marTop w:val="0"/>
      <w:marBottom w:val="0"/>
      <w:divBdr>
        <w:top w:val="none" w:sz="0" w:space="0" w:color="auto"/>
        <w:left w:val="none" w:sz="0" w:space="0" w:color="auto"/>
        <w:bottom w:val="none" w:sz="0" w:space="0" w:color="auto"/>
        <w:right w:val="none" w:sz="0" w:space="0" w:color="auto"/>
      </w:divBdr>
    </w:div>
    <w:div w:id="1670790113">
      <w:bodyDiv w:val="1"/>
      <w:marLeft w:val="0"/>
      <w:marRight w:val="0"/>
      <w:marTop w:val="0"/>
      <w:marBottom w:val="0"/>
      <w:divBdr>
        <w:top w:val="none" w:sz="0" w:space="0" w:color="auto"/>
        <w:left w:val="none" w:sz="0" w:space="0" w:color="auto"/>
        <w:bottom w:val="none" w:sz="0" w:space="0" w:color="auto"/>
        <w:right w:val="none" w:sz="0" w:space="0" w:color="auto"/>
      </w:divBdr>
    </w:div>
    <w:div w:id="1672753829">
      <w:bodyDiv w:val="1"/>
      <w:marLeft w:val="0"/>
      <w:marRight w:val="0"/>
      <w:marTop w:val="0"/>
      <w:marBottom w:val="0"/>
      <w:divBdr>
        <w:top w:val="none" w:sz="0" w:space="0" w:color="auto"/>
        <w:left w:val="none" w:sz="0" w:space="0" w:color="auto"/>
        <w:bottom w:val="none" w:sz="0" w:space="0" w:color="auto"/>
        <w:right w:val="none" w:sz="0" w:space="0" w:color="auto"/>
      </w:divBdr>
    </w:div>
    <w:div w:id="1675759821">
      <w:bodyDiv w:val="1"/>
      <w:marLeft w:val="0"/>
      <w:marRight w:val="0"/>
      <w:marTop w:val="0"/>
      <w:marBottom w:val="0"/>
      <w:divBdr>
        <w:top w:val="none" w:sz="0" w:space="0" w:color="auto"/>
        <w:left w:val="none" w:sz="0" w:space="0" w:color="auto"/>
        <w:bottom w:val="none" w:sz="0" w:space="0" w:color="auto"/>
        <w:right w:val="none" w:sz="0" w:space="0" w:color="auto"/>
      </w:divBdr>
    </w:div>
    <w:div w:id="1699768694">
      <w:bodyDiv w:val="1"/>
      <w:marLeft w:val="0"/>
      <w:marRight w:val="0"/>
      <w:marTop w:val="0"/>
      <w:marBottom w:val="0"/>
      <w:divBdr>
        <w:top w:val="none" w:sz="0" w:space="0" w:color="auto"/>
        <w:left w:val="none" w:sz="0" w:space="0" w:color="auto"/>
        <w:bottom w:val="none" w:sz="0" w:space="0" w:color="auto"/>
        <w:right w:val="none" w:sz="0" w:space="0" w:color="auto"/>
      </w:divBdr>
    </w:div>
    <w:div w:id="1718433570">
      <w:bodyDiv w:val="1"/>
      <w:marLeft w:val="0"/>
      <w:marRight w:val="0"/>
      <w:marTop w:val="0"/>
      <w:marBottom w:val="0"/>
      <w:divBdr>
        <w:top w:val="none" w:sz="0" w:space="0" w:color="auto"/>
        <w:left w:val="none" w:sz="0" w:space="0" w:color="auto"/>
        <w:bottom w:val="none" w:sz="0" w:space="0" w:color="auto"/>
        <w:right w:val="none" w:sz="0" w:space="0" w:color="auto"/>
      </w:divBdr>
    </w:div>
    <w:div w:id="1720546679">
      <w:bodyDiv w:val="1"/>
      <w:marLeft w:val="0"/>
      <w:marRight w:val="0"/>
      <w:marTop w:val="0"/>
      <w:marBottom w:val="0"/>
      <w:divBdr>
        <w:top w:val="none" w:sz="0" w:space="0" w:color="auto"/>
        <w:left w:val="none" w:sz="0" w:space="0" w:color="auto"/>
        <w:bottom w:val="none" w:sz="0" w:space="0" w:color="auto"/>
        <w:right w:val="none" w:sz="0" w:space="0" w:color="auto"/>
      </w:divBdr>
    </w:div>
    <w:div w:id="1754542853">
      <w:bodyDiv w:val="1"/>
      <w:marLeft w:val="0"/>
      <w:marRight w:val="0"/>
      <w:marTop w:val="0"/>
      <w:marBottom w:val="0"/>
      <w:divBdr>
        <w:top w:val="none" w:sz="0" w:space="0" w:color="auto"/>
        <w:left w:val="none" w:sz="0" w:space="0" w:color="auto"/>
        <w:bottom w:val="none" w:sz="0" w:space="0" w:color="auto"/>
        <w:right w:val="none" w:sz="0" w:space="0" w:color="auto"/>
      </w:divBdr>
    </w:div>
    <w:div w:id="1772356810">
      <w:bodyDiv w:val="1"/>
      <w:marLeft w:val="0"/>
      <w:marRight w:val="0"/>
      <w:marTop w:val="0"/>
      <w:marBottom w:val="0"/>
      <w:divBdr>
        <w:top w:val="none" w:sz="0" w:space="0" w:color="auto"/>
        <w:left w:val="none" w:sz="0" w:space="0" w:color="auto"/>
        <w:bottom w:val="none" w:sz="0" w:space="0" w:color="auto"/>
        <w:right w:val="none" w:sz="0" w:space="0" w:color="auto"/>
      </w:divBdr>
    </w:div>
    <w:div w:id="1792437023">
      <w:bodyDiv w:val="1"/>
      <w:marLeft w:val="0"/>
      <w:marRight w:val="0"/>
      <w:marTop w:val="0"/>
      <w:marBottom w:val="0"/>
      <w:divBdr>
        <w:top w:val="none" w:sz="0" w:space="0" w:color="auto"/>
        <w:left w:val="none" w:sz="0" w:space="0" w:color="auto"/>
        <w:bottom w:val="none" w:sz="0" w:space="0" w:color="auto"/>
        <w:right w:val="none" w:sz="0" w:space="0" w:color="auto"/>
      </w:divBdr>
    </w:div>
    <w:div w:id="1813014066">
      <w:bodyDiv w:val="1"/>
      <w:marLeft w:val="0"/>
      <w:marRight w:val="0"/>
      <w:marTop w:val="0"/>
      <w:marBottom w:val="0"/>
      <w:divBdr>
        <w:top w:val="none" w:sz="0" w:space="0" w:color="auto"/>
        <w:left w:val="none" w:sz="0" w:space="0" w:color="auto"/>
        <w:bottom w:val="none" w:sz="0" w:space="0" w:color="auto"/>
        <w:right w:val="none" w:sz="0" w:space="0" w:color="auto"/>
      </w:divBdr>
    </w:div>
    <w:div w:id="1837376047">
      <w:bodyDiv w:val="1"/>
      <w:marLeft w:val="0"/>
      <w:marRight w:val="0"/>
      <w:marTop w:val="0"/>
      <w:marBottom w:val="0"/>
      <w:divBdr>
        <w:top w:val="none" w:sz="0" w:space="0" w:color="auto"/>
        <w:left w:val="none" w:sz="0" w:space="0" w:color="auto"/>
        <w:bottom w:val="none" w:sz="0" w:space="0" w:color="auto"/>
        <w:right w:val="none" w:sz="0" w:space="0" w:color="auto"/>
      </w:divBdr>
    </w:div>
    <w:div w:id="1839690187">
      <w:bodyDiv w:val="1"/>
      <w:marLeft w:val="0"/>
      <w:marRight w:val="0"/>
      <w:marTop w:val="0"/>
      <w:marBottom w:val="0"/>
      <w:divBdr>
        <w:top w:val="none" w:sz="0" w:space="0" w:color="auto"/>
        <w:left w:val="none" w:sz="0" w:space="0" w:color="auto"/>
        <w:bottom w:val="none" w:sz="0" w:space="0" w:color="auto"/>
        <w:right w:val="none" w:sz="0" w:space="0" w:color="auto"/>
      </w:divBdr>
    </w:div>
    <w:div w:id="1855337571">
      <w:bodyDiv w:val="1"/>
      <w:marLeft w:val="0"/>
      <w:marRight w:val="0"/>
      <w:marTop w:val="0"/>
      <w:marBottom w:val="0"/>
      <w:divBdr>
        <w:top w:val="none" w:sz="0" w:space="0" w:color="auto"/>
        <w:left w:val="none" w:sz="0" w:space="0" w:color="auto"/>
        <w:bottom w:val="none" w:sz="0" w:space="0" w:color="auto"/>
        <w:right w:val="none" w:sz="0" w:space="0" w:color="auto"/>
      </w:divBdr>
    </w:div>
    <w:div w:id="1875842282">
      <w:bodyDiv w:val="1"/>
      <w:marLeft w:val="0"/>
      <w:marRight w:val="0"/>
      <w:marTop w:val="0"/>
      <w:marBottom w:val="0"/>
      <w:divBdr>
        <w:top w:val="none" w:sz="0" w:space="0" w:color="auto"/>
        <w:left w:val="none" w:sz="0" w:space="0" w:color="auto"/>
        <w:bottom w:val="none" w:sz="0" w:space="0" w:color="auto"/>
        <w:right w:val="none" w:sz="0" w:space="0" w:color="auto"/>
      </w:divBdr>
    </w:div>
    <w:div w:id="1948274840">
      <w:bodyDiv w:val="1"/>
      <w:marLeft w:val="0"/>
      <w:marRight w:val="0"/>
      <w:marTop w:val="0"/>
      <w:marBottom w:val="0"/>
      <w:divBdr>
        <w:top w:val="none" w:sz="0" w:space="0" w:color="auto"/>
        <w:left w:val="none" w:sz="0" w:space="0" w:color="auto"/>
        <w:bottom w:val="none" w:sz="0" w:space="0" w:color="auto"/>
        <w:right w:val="none" w:sz="0" w:space="0" w:color="auto"/>
      </w:divBdr>
    </w:div>
    <w:div w:id="2004964888">
      <w:bodyDiv w:val="1"/>
      <w:marLeft w:val="0"/>
      <w:marRight w:val="0"/>
      <w:marTop w:val="0"/>
      <w:marBottom w:val="0"/>
      <w:divBdr>
        <w:top w:val="none" w:sz="0" w:space="0" w:color="auto"/>
        <w:left w:val="none" w:sz="0" w:space="0" w:color="auto"/>
        <w:bottom w:val="none" w:sz="0" w:space="0" w:color="auto"/>
        <w:right w:val="none" w:sz="0" w:space="0" w:color="auto"/>
      </w:divBdr>
    </w:div>
    <w:div w:id="2029024425">
      <w:bodyDiv w:val="1"/>
      <w:marLeft w:val="0"/>
      <w:marRight w:val="0"/>
      <w:marTop w:val="0"/>
      <w:marBottom w:val="0"/>
      <w:divBdr>
        <w:top w:val="none" w:sz="0" w:space="0" w:color="auto"/>
        <w:left w:val="none" w:sz="0" w:space="0" w:color="auto"/>
        <w:bottom w:val="none" w:sz="0" w:space="0" w:color="auto"/>
        <w:right w:val="none" w:sz="0" w:space="0" w:color="auto"/>
      </w:divBdr>
    </w:div>
    <w:div w:id="2052682697">
      <w:bodyDiv w:val="1"/>
      <w:marLeft w:val="0"/>
      <w:marRight w:val="0"/>
      <w:marTop w:val="0"/>
      <w:marBottom w:val="0"/>
      <w:divBdr>
        <w:top w:val="none" w:sz="0" w:space="0" w:color="auto"/>
        <w:left w:val="none" w:sz="0" w:space="0" w:color="auto"/>
        <w:bottom w:val="none" w:sz="0" w:space="0" w:color="auto"/>
        <w:right w:val="none" w:sz="0" w:space="0" w:color="auto"/>
      </w:divBdr>
    </w:div>
    <w:div w:id="2063021531">
      <w:bodyDiv w:val="1"/>
      <w:marLeft w:val="0"/>
      <w:marRight w:val="0"/>
      <w:marTop w:val="0"/>
      <w:marBottom w:val="0"/>
      <w:divBdr>
        <w:top w:val="none" w:sz="0" w:space="0" w:color="auto"/>
        <w:left w:val="none" w:sz="0" w:space="0" w:color="auto"/>
        <w:bottom w:val="none" w:sz="0" w:space="0" w:color="auto"/>
        <w:right w:val="none" w:sz="0" w:space="0" w:color="auto"/>
      </w:divBdr>
    </w:div>
    <w:div w:id="2086804187">
      <w:bodyDiv w:val="1"/>
      <w:marLeft w:val="0"/>
      <w:marRight w:val="0"/>
      <w:marTop w:val="0"/>
      <w:marBottom w:val="0"/>
      <w:divBdr>
        <w:top w:val="none" w:sz="0" w:space="0" w:color="auto"/>
        <w:left w:val="none" w:sz="0" w:space="0" w:color="auto"/>
        <w:bottom w:val="none" w:sz="0" w:space="0" w:color="auto"/>
        <w:right w:val="none" w:sz="0" w:space="0" w:color="auto"/>
      </w:divBdr>
    </w:div>
    <w:div w:id="208938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1.%202020%20-%20Befolkningsudvikling%20i%20Br&#248;ndby%201981-2019%20og%202020-203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2.%202020%20-%20Befolkningsfremskrivning%20for%20aldersgrupper%20(2019-indeks%201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3.%202020%20-%20Befolkningsudviklingen%20i%20udvalgte%20ko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204.%202019%20-%20Befolkningsudvikling%20i%20Br&#248;ndby%201981-2019%20og%202020-203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5.%202020%20-%20Sammenholdt%20med%20Danmarks%20Statistik.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6.%202020%20-%20Befolkningssammens&#230;tning%20i%202020%20og%20203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7.%202020%20-%20Befolkningens%20fordeling%20mellem%20Br&#248;ndby%20kommunes%20bydel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brondby.dk\gruppe\Centralfv\&#216;konomi%20og%20indk&#248;bsafdelingen\OKONOMI\Anders\Befolkningsprognose\Befolkningsprognose%202020%20til%202030\Figurer\Figur%2019.%202020%20-%20pr&#230;ci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6491172663119"/>
          <c:y val="6.6225308329255328E-2"/>
          <c:w val="0.8818994053310022"/>
          <c:h val="0.71964835051124132"/>
        </c:manualLayout>
      </c:layout>
      <c:lineChart>
        <c:grouping val="standard"/>
        <c:varyColors val="0"/>
        <c:ser>
          <c:idx val="0"/>
          <c:order val="0"/>
          <c:spPr>
            <a:ln w="34925">
              <a:solidFill>
                <a:schemeClr val="tx2"/>
              </a:solidFill>
              <a:prstDash val="solid"/>
            </a:ln>
          </c:spPr>
          <c:marker>
            <c:symbol val="none"/>
          </c:marker>
          <c:dPt>
            <c:idx val="0"/>
            <c:bubble3D val="0"/>
            <c:spPr>
              <a:ln w="34925">
                <a:solidFill>
                  <a:schemeClr val="tx2"/>
                </a:solidFill>
                <a:prstDash val="sysDash"/>
              </a:ln>
            </c:spPr>
            <c:extLst>
              <c:ext xmlns:c16="http://schemas.microsoft.com/office/drawing/2014/chart" uri="{C3380CC4-5D6E-409C-BE32-E72D297353CC}">
                <c16:uniqueId val="{00000001-4E6E-4B24-A141-4C588E361509}"/>
              </c:ext>
            </c:extLst>
          </c:dPt>
          <c:dPt>
            <c:idx val="33"/>
            <c:bubble3D val="0"/>
            <c:extLst>
              <c:ext xmlns:c16="http://schemas.microsoft.com/office/drawing/2014/chart" uri="{C3380CC4-5D6E-409C-BE32-E72D297353CC}">
                <c16:uniqueId val="{00000002-4E6E-4B24-A141-4C588E361509}"/>
              </c:ext>
            </c:extLst>
          </c:dPt>
          <c:dPt>
            <c:idx val="34"/>
            <c:bubble3D val="0"/>
            <c:extLst>
              <c:ext xmlns:c16="http://schemas.microsoft.com/office/drawing/2014/chart" uri="{C3380CC4-5D6E-409C-BE32-E72D297353CC}">
                <c16:uniqueId val="{00000003-4E6E-4B24-A141-4C588E361509}"/>
              </c:ext>
            </c:extLst>
          </c:dPt>
          <c:dPt>
            <c:idx val="35"/>
            <c:bubble3D val="0"/>
            <c:extLst>
              <c:ext xmlns:c16="http://schemas.microsoft.com/office/drawing/2014/chart" uri="{C3380CC4-5D6E-409C-BE32-E72D297353CC}">
                <c16:uniqueId val="{00000004-4E6E-4B24-A141-4C588E361509}"/>
              </c:ext>
            </c:extLst>
          </c:dPt>
          <c:dPt>
            <c:idx val="36"/>
            <c:bubble3D val="0"/>
            <c:extLst>
              <c:ext xmlns:c16="http://schemas.microsoft.com/office/drawing/2014/chart" uri="{C3380CC4-5D6E-409C-BE32-E72D297353CC}">
                <c16:uniqueId val="{00000005-4E6E-4B24-A141-4C588E361509}"/>
              </c:ext>
            </c:extLst>
          </c:dPt>
          <c:dPt>
            <c:idx val="37"/>
            <c:bubble3D val="0"/>
            <c:spPr>
              <a:ln w="34925">
                <a:solidFill>
                  <a:schemeClr val="tx2"/>
                </a:solidFill>
                <a:prstDash val="sysDash"/>
              </a:ln>
            </c:spPr>
            <c:extLst>
              <c:ext xmlns:c16="http://schemas.microsoft.com/office/drawing/2014/chart" uri="{C3380CC4-5D6E-409C-BE32-E72D297353CC}">
                <c16:uniqueId val="{00000007-4E6E-4B24-A141-4C588E361509}"/>
              </c:ext>
            </c:extLst>
          </c:dPt>
          <c:dPt>
            <c:idx val="38"/>
            <c:bubble3D val="0"/>
            <c:spPr>
              <a:ln w="34925">
                <a:solidFill>
                  <a:schemeClr val="tx2"/>
                </a:solidFill>
                <a:prstDash val="sysDash"/>
              </a:ln>
            </c:spPr>
            <c:extLst>
              <c:ext xmlns:c16="http://schemas.microsoft.com/office/drawing/2014/chart" uri="{C3380CC4-5D6E-409C-BE32-E72D297353CC}">
                <c16:uniqueId val="{00000009-4E6E-4B24-A141-4C588E361509}"/>
              </c:ext>
            </c:extLst>
          </c:dPt>
          <c:dPt>
            <c:idx val="39"/>
            <c:bubble3D val="0"/>
            <c:spPr>
              <a:ln w="34925">
                <a:solidFill>
                  <a:schemeClr val="tx2"/>
                </a:solidFill>
                <a:prstDash val="sysDash"/>
              </a:ln>
            </c:spPr>
            <c:extLst>
              <c:ext xmlns:c16="http://schemas.microsoft.com/office/drawing/2014/chart" uri="{C3380CC4-5D6E-409C-BE32-E72D297353CC}">
                <c16:uniqueId val="{0000000B-4E6E-4B24-A141-4C588E361509}"/>
              </c:ext>
            </c:extLst>
          </c:dPt>
          <c:dPt>
            <c:idx val="40"/>
            <c:bubble3D val="0"/>
            <c:spPr>
              <a:ln w="34925">
                <a:solidFill>
                  <a:schemeClr val="tx2"/>
                </a:solidFill>
                <a:prstDash val="sysDash"/>
              </a:ln>
            </c:spPr>
            <c:extLst>
              <c:ext xmlns:c16="http://schemas.microsoft.com/office/drawing/2014/chart" uri="{C3380CC4-5D6E-409C-BE32-E72D297353CC}">
                <c16:uniqueId val="{0000000D-4E6E-4B24-A141-4C588E361509}"/>
              </c:ext>
            </c:extLst>
          </c:dPt>
          <c:dPt>
            <c:idx val="41"/>
            <c:bubble3D val="0"/>
            <c:spPr>
              <a:ln w="34925">
                <a:solidFill>
                  <a:schemeClr val="tx2"/>
                </a:solidFill>
                <a:prstDash val="sysDash"/>
              </a:ln>
            </c:spPr>
            <c:extLst>
              <c:ext xmlns:c16="http://schemas.microsoft.com/office/drawing/2014/chart" uri="{C3380CC4-5D6E-409C-BE32-E72D297353CC}">
                <c16:uniqueId val="{0000000F-4E6E-4B24-A141-4C588E361509}"/>
              </c:ext>
            </c:extLst>
          </c:dPt>
          <c:dPt>
            <c:idx val="42"/>
            <c:bubble3D val="0"/>
            <c:spPr>
              <a:ln w="34925">
                <a:solidFill>
                  <a:schemeClr val="tx2"/>
                </a:solidFill>
                <a:prstDash val="sysDash"/>
              </a:ln>
            </c:spPr>
            <c:extLst>
              <c:ext xmlns:c16="http://schemas.microsoft.com/office/drawing/2014/chart" uri="{C3380CC4-5D6E-409C-BE32-E72D297353CC}">
                <c16:uniqueId val="{00000011-4E6E-4B24-A141-4C588E361509}"/>
              </c:ext>
            </c:extLst>
          </c:dPt>
          <c:dPt>
            <c:idx val="43"/>
            <c:bubble3D val="0"/>
            <c:spPr>
              <a:ln w="34925">
                <a:solidFill>
                  <a:schemeClr val="tx2"/>
                </a:solidFill>
                <a:prstDash val="sysDash"/>
              </a:ln>
            </c:spPr>
            <c:extLst>
              <c:ext xmlns:c16="http://schemas.microsoft.com/office/drawing/2014/chart" uri="{C3380CC4-5D6E-409C-BE32-E72D297353CC}">
                <c16:uniqueId val="{00000013-4E6E-4B24-A141-4C588E361509}"/>
              </c:ext>
            </c:extLst>
          </c:dPt>
          <c:dPt>
            <c:idx val="44"/>
            <c:bubble3D val="0"/>
            <c:spPr>
              <a:ln w="34925">
                <a:solidFill>
                  <a:schemeClr val="tx2"/>
                </a:solidFill>
                <a:prstDash val="sysDash"/>
              </a:ln>
            </c:spPr>
            <c:extLst>
              <c:ext xmlns:c16="http://schemas.microsoft.com/office/drawing/2014/chart" uri="{C3380CC4-5D6E-409C-BE32-E72D297353CC}">
                <c16:uniqueId val="{00000015-4E6E-4B24-A141-4C588E361509}"/>
              </c:ext>
            </c:extLst>
          </c:dPt>
          <c:dPt>
            <c:idx val="45"/>
            <c:bubble3D val="0"/>
            <c:spPr>
              <a:ln w="34925">
                <a:solidFill>
                  <a:schemeClr val="tx2"/>
                </a:solidFill>
                <a:prstDash val="sysDash"/>
              </a:ln>
            </c:spPr>
            <c:extLst>
              <c:ext xmlns:c16="http://schemas.microsoft.com/office/drawing/2014/chart" uri="{C3380CC4-5D6E-409C-BE32-E72D297353CC}">
                <c16:uniqueId val="{00000017-4E6E-4B24-A141-4C588E361509}"/>
              </c:ext>
            </c:extLst>
          </c:dPt>
          <c:dPt>
            <c:idx val="46"/>
            <c:bubble3D val="0"/>
            <c:spPr>
              <a:ln w="34925">
                <a:solidFill>
                  <a:schemeClr val="tx2"/>
                </a:solidFill>
                <a:prstDash val="sysDash"/>
              </a:ln>
            </c:spPr>
            <c:extLst>
              <c:ext xmlns:c16="http://schemas.microsoft.com/office/drawing/2014/chart" uri="{C3380CC4-5D6E-409C-BE32-E72D297353CC}">
                <c16:uniqueId val="{00000019-4E6E-4B24-A141-4C588E361509}"/>
              </c:ext>
            </c:extLst>
          </c:dPt>
          <c:dPt>
            <c:idx val="47"/>
            <c:bubble3D val="0"/>
            <c:spPr>
              <a:ln w="34925">
                <a:solidFill>
                  <a:schemeClr val="tx2"/>
                </a:solidFill>
                <a:prstDash val="sysDash"/>
              </a:ln>
            </c:spPr>
            <c:extLst>
              <c:ext xmlns:c16="http://schemas.microsoft.com/office/drawing/2014/chart" uri="{C3380CC4-5D6E-409C-BE32-E72D297353CC}">
                <c16:uniqueId val="{0000001B-4E6E-4B24-A141-4C588E361509}"/>
              </c:ext>
            </c:extLst>
          </c:dPt>
          <c:dPt>
            <c:idx val="48"/>
            <c:bubble3D val="0"/>
            <c:spPr>
              <a:ln w="34925">
                <a:solidFill>
                  <a:schemeClr val="tx2"/>
                </a:solidFill>
                <a:prstDash val="sysDash"/>
              </a:ln>
            </c:spPr>
            <c:extLst>
              <c:ext xmlns:c16="http://schemas.microsoft.com/office/drawing/2014/chart" uri="{C3380CC4-5D6E-409C-BE32-E72D297353CC}">
                <c16:uniqueId val="{0000001D-4E6E-4B24-A141-4C588E361509}"/>
              </c:ext>
            </c:extLst>
          </c:dPt>
          <c:dPt>
            <c:idx val="49"/>
            <c:bubble3D val="0"/>
            <c:spPr>
              <a:ln w="34925">
                <a:solidFill>
                  <a:schemeClr val="tx2"/>
                </a:solidFill>
                <a:prstDash val="sysDash"/>
              </a:ln>
            </c:spPr>
            <c:extLst>
              <c:ext xmlns:c16="http://schemas.microsoft.com/office/drawing/2014/chart" uri="{C3380CC4-5D6E-409C-BE32-E72D297353CC}">
                <c16:uniqueId val="{0000001F-4E6E-4B24-A141-4C588E361509}"/>
              </c:ext>
            </c:extLst>
          </c:dPt>
          <c:cat>
            <c:strRef>
              <c:f>'Figur F - Historisk befolknings'!$C$4:$BA$4</c:f>
              <c:strCache>
                <c:ptCount val="5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pt idx="40">
                  <c:v>2020</c:v>
                </c:pt>
                <c:pt idx="41">
                  <c:v>2021</c:v>
                </c:pt>
                <c:pt idx="42">
                  <c:v>2022</c:v>
                </c:pt>
                <c:pt idx="43">
                  <c:v>2023</c:v>
                </c:pt>
                <c:pt idx="44">
                  <c:v>2024</c:v>
                </c:pt>
                <c:pt idx="45">
                  <c:v>2025</c:v>
                </c:pt>
                <c:pt idx="46">
                  <c:v>2026</c:v>
                </c:pt>
                <c:pt idx="47">
                  <c:v>2027</c:v>
                </c:pt>
                <c:pt idx="48">
                  <c:v>2028</c:v>
                </c:pt>
                <c:pt idx="49">
                  <c:v>2029</c:v>
                </c:pt>
                <c:pt idx="50">
                  <c:v>2030</c:v>
                </c:pt>
              </c:strCache>
            </c:strRef>
          </c:cat>
          <c:val>
            <c:numRef>
              <c:f>'Figur F - Historisk befolknings'!$C$5:$BA$5</c:f>
              <c:numCache>
                <c:formatCode>General</c:formatCode>
                <c:ptCount val="51"/>
                <c:pt idx="0">
                  <c:v>38034</c:v>
                </c:pt>
                <c:pt idx="1">
                  <c:v>37615</c:v>
                </c:pt>
                <c:pt idx="2">
                  <c:v>37130</c:v>
                </c:pt>
                <c:pt idx="3">
                  <c:v>36749</c:v>
                </c:pt>
                <c:pt idx="4">
                  <c:v>36186</c:v>
                </c:pt>
                <c:pt idx="5">
                  <c:v>35474</c:v>
                </c:pt>
                <c:pt idx="6">
                  <c:v>35302</c:v>
                </c:pt>
                <c:pt idx="7">
                  <c:v>34881</c:v>
                </c:pt>
                <c:pt idx="8">
                  <c:v>34704</c:v>
                </c:pt>
                <c:pt idx="9">
                  <c:v>34359</c:v>
                </c:pt>
                <c:pt idx="10">
                  <c:v>34041</c:v>
                </c:pt>
                <c:pt idx="11">
                  <c:v>33807</c:v>
                </c:pt>
                <c:pt idx="12">
                  <c:v>33794</c:v>
                </c:pt>
                <c:pt idx="13">
                  <c:v>33746</c:v>
                </c:pt>
                <c:pt idx="14">
                  <c:v>33634</c:v>
                </c:pt>
                <c:pt idx="15">
                  <c:v>33579</c:v>
                </c:pt>
                <c:pt idx="16">
                  <c:v>34388</c:v>
                </c:pt>
                <c:pt idx="17">
                  <c:v>34458</c:v>
                </c:pt>
                <c:pt idx="18">
                  <c:v>34360</c:v>
                </c:pt>
                <c:pt idx="19">
                  <c:v>34391</c:v>
                </c:pt>
                <c:pt idx="20">
                  <c:v>34354</c:v>
                </c:pt>
                <c:pt idx="21">
                  <c:v>34498</c:v>
                </c:pt>
                <c:pt idx="22">
                  <c:v>34542</c:v>
                </c:pt>
                <c:pt idx="23">
                  <c:v>34676</c:v>
                </c:pt>
                <c:pt idx="24">
                  <c:v>34708</c:v>
                </c:pt>
                <c:pt idx="25">
                  <c:v>34513</c:v>
                </c:pt>
                <c:pt idx="26" formatCode="0">
                  <c:v>33807</c:v>
                </c:pt>
                <c:pt idx="27" formatCode="0">
                  <c:v>33807</c:v>
                </c:pt>
                <c:pt idx="28">
                  <c:v>33831</c:v>
                </c:pt>
                <c:pt idx="29">
                  <c:v>33762</c:v>
                </c:pt>
                <c:pt idx="30">
                  <c:v>33795</c:v>
                </c:pt>
                <c:pt idx="31">
                  <c:v>34021</c:v>
                </c:pt>
                <c:pt idx="32">
                  <c:v>34084</c:v>
                </c:pt>
                <c:pt idx="33">
                  <c:v>34215</c:v>
                </c:pt>
                <c:pt idx="34">
                  <c:v>34581</c:v>
                </c:pt>
                <c:pt idx="35">
                  <c:v>35048</c:v>
                </c:pt>
                <c:pt idx="36">
                  <c:v>35327</c:v>
                </c:pt>
                <c:pt idx="37">
                  <c:v>35601</c:v>
                </c:pt>
                <c:pt idx="38">
                  <c:v>35541</c:v>
                </c:pt>
                <c:pt idx="39" formatCode="#,##0">
                  <c:v>35393</c:v>
                </c:pt>
                <c:pt idx="40" formatCode="#,##0">
                  <c:v>35094</c:v>
                </c:pt>
                <c:pt idx="41" formatCode="#,##0">
                  <c:v>35299</c:v>
                </c:pt>
                <c:pt idx="42" formatCode="#,##0">
                  <c:v>35845</c:v>
                </c:pt>
                <c:pt idx="43" formatCode="#,##0">
                  <c:v>36683</c:v>
                </c:pt>
                <c:pt idx="44" formatCode="#,##0">
                  <c:v>37950</c:v>
                </c:pt>
                <c:pt idx="45" formatCode="#,##0">
                  <c:v>38767</c:v>
                </c:pt>
                <c:pt idx="46" formatCode="#,##0">
                  <c:v>39055</c:v>
                </c:pt>
                <c:pt idx="47" formatCode="#,##0">
                  <c:v>39062</c:v>
                </c:pt>
                <c:pt idx="48" formatCode="#,##0">
                  <c:v>39129</c:v>
                </c:pt>
                <c:pt idx="49" formatCode="#,##0">
                  <c:v>39189</c:v>
                </c:pt>
                <c:pt idx="50" formatCode="#,##0">
                  <c:v>39175</c:v>
                </c:pt>
              </c:numCache>
            </c:numRef>
          </c:val>
          <c:smooth val="1"/>
          <c:extLst>
            <c:ext xmlns:c16="http://schemas.microsoft.com/office/drawing/2014/chart" uri="{C3380CC4-5D6E-409C-BE32-E72D297353CC}">
              <c16:uniqueId val="{00000020-4E6E-4B24-A141-4C588E361509}"/>
            </c:ext>
          </c:extLst>
        </c:ser>
        <c:dLbls>
          <c:showLegendKey val="0"/>
          <c:showVal val="0"/>
          <c:showCatName val="0"/>
          <c:showSerName val="0"/>
          <c:showPercent val="0"/>
          <c:showBubbleSize val="0"/>
        </c:dLbls>
        <c:smooth val="0"/>
        <c:axId val="192005248"/>
        <c:axId val="192006784"/>
      </c:lineChart>
      <c:catAx>
        <c:axId val="192005248"/>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a:pPr>
            <a:endParaRPr lang="da-DK"/>
          </a:p>
        </c:txPr>
        <c:crossAx val="192006784"/>
        <c:crosses val="autoZero"/>
        <c:auto val="1"/>
        <c:lblAlgn val="ctr"/>
        <c:lblOffset val="100"/>
        <c:tickLblSkip val="1"/>
        <c:tickMarkSkip val="1"/>
        <c:noMultiLvlLbl val="0"/>
      </c:catAx>
      <c:valAx>
        <c:axId val="192006784"/>
        <c:scaling>
          <c:orientation val="minMax"/>
          <c:min val="320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a:pPr>
            <a:endParaRPr lang="da-DK"/>
          </a:p>
        </c:txPr>
        <c:crossAx val="192005248"/>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mn-lt"/>
          <a:ea typeface="Trebuchet MS"/>
          <a:cs typeface="Trebuchet MS"/>
        </a:defRPr>
      </a:pPr>
      <a:endParaRPr lang="da-D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'Ark1'!$Y$14</c:f>
              <c:strCache>
                <c:ptCount val="1"/>
                <c:pt idx="0">
                  <c:v>Småbørn (0-5 år)</c:v>
                </c:pt>
              </c:strCache>
            </c:strRef>
          </c:tx>
          <c:spPr>
            <a:ln>
              <a:solidFill>
                <a:srgbClr val="FF33CC"/>
              </a:solidFill>
            </a:ln>
          </c:spPr>
          <c:marker>
            <c:symbol val="none"/>
          </c:marker>
          <c:cat>
            <c:numRef>
              <c:f>'Ark1'!$Z$13:$AL$13</c:f>
              <c:numCache>
                <c:formatCode>General</c:formatCode>
                <c:ptCount val="13"/>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'Ark1'!$Z$14:$AL$14</c:f>
              <c:numCache>
                <c:formatCode>#,##0.000</c:formatCode>
                <c:ptCount val="13"/>
                <c:pt idx="1">
                  <c:v>100</c:v>
                </c:pt>
                <c:pt idx="2">
                  <c:v>96.969696969696969</c:v>
                </c:pt>
                <c:pt idx="3">
                  <c:v>97.943031644234537</c:v>
                </c:pt>
                <c:pt idx="4">
                  <c:v>100.10339081621412</c:v>
                </c:pt>
                <c:pt idx="5">
                  <c:v>103.52245302636757</c:v>
                </c:pt>
                <c:pt idx="6">
                  <c:v>110.10268005194803</c:v>
                </c:pt>
                <c:pt idx="7">
                  <c:v>115.58833565604093</c:v>
                </c:pt>
                <c:pt idx="8">
                  <c:v>117.66852519677289</c:v>
                </c:pt>
                <c:pt idx="9">
                  <c:v>118.28462609917354</c:v>
                </c:pt>
                <c:pt idx="10">
                  <c:v>118.24218810271547</c:v>
                </c:pt>
                <c:pt idx="11">
                  <c:v>117.43852871310507</c:v>
                </c:pt>
                <c:pt idx="12">
                  <c:v>119.18770472727276</c:v>
                </c:pt>
              </c:numCache>
            </c:numRef>
          </c:val>
          <c:smooth val="1"/>
          <c:extLst>
            <c:ext xmlns:c16="http://schemas.microsoft.com/office/drawing/2014/chart" uri="{C3380CC4-5D6E-409C-BE32-E72D297353CC}">
              <c16:uniqueId val="{00000000-FBC6-4678-8498-E45A785FE6AD}"/>
            </c:ext>
          </c:extLst>
        </c:ser>
        <c:ser>
          <c:idx val="1"/>
          <c:order val="1"/>
          <c:tx>
            <c:strRef>
              <c:f>'Ark1'!$Y$15</c:f>
              <c:strCache>
                <c:ptCount val="1"/>
                <c:pt idx="0">
                  <c:v>Skolebørn (6-16 år)</c:v>
                </c:pt>
              </c:strCache>
            </c:strRef>
          </c:tx>
          <c:spPr>
            <a:ln>
              <a:solidFill>
                <a:srgbClr val="FFCC00"/>
              </a:solidFill>
            </a:ln>
          </c:spPr>
          <c:marker>
            <c:symbol val="none"/>
          </c:marker>
          <c:cat>
            <c:numRef>
              <c:f>'Ark1'!$Z$13:$AL$13</c:f>
              <c:numCache>
                <c:formatCode>General</c:formatCode>
                <c:ptCount val="13"/>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'Ark1'!$Z$15:$AL$15</c:f>
              <c:numCache>
                <c:formatCode>#,##0.000</c:formatCode>
                <c:ptCount val="13"/>
                <c:pt idx="1">
                  <c:v>100</c:v>
                </c:pt>
                <c:pt idx="2">
                  <c:v>99.843400447427285</c:v>
                </c:pt>
                <c:pt idx="3">
                  <c:v>99.422959384340047</c:v>
                </c:pt>
                <c:pt idx="4">
                  <c:v>100.85004954496644</c:v>
                </c:pt>
                <c:pt idx="5">
                  <c:v>103.10333374675615</c:v>
                </c:pt>
                <c:pt idx="6">
                  <c:v>105.05265790067114</c:v>
                </c:pt>
                <c:pt idx="7">
                  <c:v>107.08310854026848</c:v>
                </c:pt>
                <c:pt idx="8">
                  <c:v>108.52538614362415</c:v>
                </c:pt>
                <c:pt idx="9">
                  <c:v>109.83337928993289</c:v>
                </c:pt>
                <c:pt idx="10">
                  <c:v>111.46725212729307</c:v>
                </c:pt>
                <c:pt idx="11">
                  <c:v>113.16603420201345</c:v>
                </c:pt>
                <c:pt idx="12">
                  <c:v>114.96178458772125</c:v>
                </c:pt>
              </c:numCache>
            </c:numRef>
          </c:val>
          <c:smooth val="1"/>
          <c:extLst>
            <c:ext xmlns:c16="http://schemas.microsoft.com/office/drawing/2014/chart" uri="{C3380CC4-5D6E-409C-BE32-E72D297353CC}">
              <c16:uniqueId val="{00000001-FBC6-4678-8498-E45A785FE6AD}"/>
            </c:ext>
          </c:extLst>
        </c:ser>
        <c:ser>
          <c:idx val="2"/>
          <c:order val="2"/>
          <c:tx>
            <c:strRef>
              <c:f>'Ark1'!$Y$16</c:f>
              <c:strCache>
                <c:ptCount val="1"/>
                <c:pt idx="0">
                  <c:v>Erhvervsaktive (17-66 år)</c:v>
                </c:pt>
              </c:strCache>
            </c:strRef>
          </c:tx>
          <c:spPr>
            <a:ln>
              <a:solidFill>
                <a:srgbClr val="00CC00"/>
              </a:solidFill>
            </a:ln>
          </c:spPr>
          <c:marker>
            <c:symbol val="none"/>
          </c:marker>
          <c:cat>
            <c:numRef>
              <c:f>'Ark1'!$Z$13:$AL$13</c:f>
              <c:numCache>
                <c:formatCode>General</c:formatCode>
                <c:ptCount val="13"/>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'Ark1'!$Z$16:$AL$16</c:f>
              <c:numCache>
                <c:formatCode>#,##0.000</c:formatCode>
                <c:ptCount val="13"/>
                <c:pt idx="1">
                  <c:v>100</c:v>
                </c:pt>
                <c:pt idx="2">
                  <c:v>98.997583460127089</c:v>
                </c:pt>
                <c:pt idx="3">
                  <c:v>99.76669038655686</c:v>
                </c:pt>
                <c:pt idx="4">
                  <c:v>101.42031554663026</c:v>
                </c:pt>
                <c:pt idx="5">
                  <c:v>103.9736778487873</c:v>
                </c:pt>
                <c:pt idx="6">
                  <c:v>107.75500369846955</c:v>
                </c:pt>
                <c:pt idx="7">
                  <c:v>109.84883955925</c:v>
                </c:pt>
                <c:pt idx="8">
                  <c:v>110.2789624028909</c:v>
                </c:pt>
                <c:pt idx="9">
                  <c:v>109.70683527409828</c:v>
                </c:pt>
                <c:pt idx="10">
                  <c:v>109.21857634789225</c:v>
                </c:pt>
                <c:pt idx="11">
                  <c:v>108.754811621006</c:v>
                </c:pt>
                <c:pt idx="12">
                  <c:v>109.31878712693246</c:v>
                </c:pt>
              </c:numCache>
            </c:numRef>
          </c:val>
          <c:smooth val="1"/>
          <c:extLst>
            <c:ext xmlns:c16="http://schemas.microsoft.com/office/drawing/2014/chart" uri="{C3380CC4-5D6E-409C-BE32-E72D297353CC}">
              <c16:uniqueId val="{00000002-FBC6-4678-8498-E45A785FE6AD}"/>
            </c:ext>
          </c:extLst>
        </c:ser>
        <c:ser>
          <c:idx val="3"/>
          <c:order val="3"/>
          <c:tx>
            <c:strRef>
              <c:f>'Ark1'!$Y$17</c:f>
              <c:strCache>
                <c:ptCount val="1"/>
                <c:pt idx="0">
                  <c:v>Ældre (67-79 år)</c:v>
                </c:pt>
              </c:strCache>
            </c:strRef>
          </c:tx>
          <c:spPr>
            <a:ln>
              <a:solidFill>
                <a:srgbClr val="0000FF"/>
              </a:solidFill>
            </a:ln>
          </c:spPr>
          <c:marker>
            <c:symbol val="none"/>
          </c:marker>
          <c:cat>
            <c:numRef>
              <c:f>'Ark1'!$Z$13:$AL$13</c:f>
              <c:numCache>
                <c:formatCode>General</c:formatCode>
                <c:ptCount val="13"/>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'Ark1'!$Z$17:$AL$17</c:f>
              <c:numCache>
                <c:formatCode>#,##0.000</c:formatCode>
                <c:ptCount val="13"/>
                <c:pt idx="1">
                  <c:v>100</c:v>
                </c:pt>
                <c:pt idx="2">
                  <c:v>99.692016109926556</c:v>
                </c:pt>
                <c:pt idx="3">
                  <c:v>100.60837647855961</c:v>
                </c:pt>
                <c:pt idx="4">
                  <c:v>102.0614962745795</c:v>
                </c:pt>
                <c:pt idx="5">
                  <c:v>103.54598646481877</c:v>
                </c:pt>
                <c:pt idx="6">
                  <c:v>106.52281597441365</c:v>
                </c:pt>
                <c:pt idx="7">
                  <c:v>107.13274723051407</c:v>
                </c:pt>
                <c:pt idx="8">
                  <c:v>107.4361021395404</c:v>
                </c:pt>
                <c:pt idx="9">
                  <c:v>106.79195463894813</c:v>
                </c:pt>
                <c:pt idx="10">
                  <c:v>107.84358832219851</c:v>
                </c:pt>
                <c:pt idx="11">
                  <c:v>109.1524523300166</c:v>
                </c:pt>
                <c:pt idx="12">
                  <c:v>110.84251067229086</c:v>
                </c:pt>
              </c:numCache>
            </c:numRef>
          </c:val>
          <c:smooth val="1"/>
          <c:extLst>
            <c:ext xmlns:c16="http://schemas.microsoft.com/office/drawing/2014/chart" uri="{C3380CC4-5D6E-409C-BE32-E72D297353CC}">
              <c16:uniqueId val="{00000003-FBC6-4678-8498-E45A785FE6AD}"/>
            </c:ext>
          </c:extLst>
        </c:ser>
        <c:ser>
          <c:idx val="4"/>
          <c:order val="4"/>
          <c:tx>
            <c:strRef>
              <c:f>'Ark1'!$Y$18</c:f>
              <c:strCache>
                <c:ptCount val="1"/>
                <c:pt idx="0">
                  <c:v>+80-årige (80- år)</c:v>
                </c:pt>
              </c:strCache>
            </c:strRef>
          </c:tx>
          <c:spPr>
            <a:ln>
              <a:solidFill>
                <a:srgbClr val="FF0000"/>
              </a:solidFill>
            </a:ln>
          </c:spPr>
          <c:marker>
            <c:symbol val="none"/>
          </c:marker>
          <c:cat>
            <c:numRef>
              <c:f>'Ark1'!$Z$13:$AL$13</c:f>
              <c:numCache>
                <c:formatCode>General</c:formatCode>
                <c:ptCount val="13"/>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'Ark1'!$Z$18:$AL$18</c:f>
              <c:numCache>
                <c:formatCode>#,##0.000</c:formatCode>
                <c:ptCount val="13"/>
                <c:pt idx="1">
                  <c:v>100</c:v>
                </c:pt>
                <c:pt idx="2">
                  <c:v>101.21212121212122</c:v>
                </c:pt>
                <c:pt idx="3">
                  <c:v>100.59321090853994</c:v>
                </c:pt>
                <c:pt idx="4">
                  <c:v>100.38744653002753</c:v>
                </c:pt>
                <c:pt idx="5">
                  <c:v>101.33726802699728</c:v>
                </c:pt>
                <c:pt idx="6">
                  <c:v>103.64206348484845</c:v>
                </c:pt>
                <c:pt idx="7">
                  <c:v>108.79401293443523</c:v>
                </c:pt>
                <c:pt idx="8">
                  <c:v>112.19834994820938</c:v>
                </c:pt>
                <c:pt idx="9">
                  <c:v>117.05360738842975</c:v>
                </c:pt>
                <c:pt idx="10">
                  <c:v>120.34271425399446</c:v>
                </c:pt>
                <c:pt idx="11">
                  <c:v>123.24789455757579</c:v>
                </c:pt>
                <c:pt idx="12">
                  <c:v>123.03633685247681</c:v>
                </c:pt>
              </c:numCache>
            </c:numRef>
          </c:val>
          <c:smooth val="1"/>
          <c:extLst>
            <c:ext xmlns:c16="http://schemas.microsoft.com/office/drawing/2014/chart" uri="{C3380CC4-5D6E-409C-BE32-E72D297353CC}">
              <c16:uniqueId val="{00000004-FBC6-4678-8498-E45A785FE6AD}"/>
            </c:ext>
          </c:extLst>
        </c:ser>
        <c:ser>
          <c:idx val="5"/>
          <c:order val="5"/>
          <c:tx>
            <c:strRef>
              <c:f>'Ark1'!$Y$19</c:f>
              <c:strCache>
                <c:ptCount val="1"/>
                <c:pt idx="0">
                  <c:v>I alt</c:v>
                </c:pt>
              </c:strCache>
            </c:strRef>
          </c:tx>
          <c:spPr>
            <a:ln>
              <a:solidFill>
                <a:schemeClr val="tx1"/>
              </a:solidFill>
            </a:ln>
          </c:spPr>
          <c:marker>
            <c:symbol val="none"/>
          </c:marker>
          <c:cat>
            <c:numRef>
              <c:f>'Ark1'!$Z$13:$AL$13</c:f>
              <c:numCache>
                <c:formatCode>General</c:formatCode>
                <c:ptCount val="13"/>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'Ark1'!$Z$19:$AL$19</c:f>
              <c:numCache>
                <c:formatCode>#,##0.000</c:formatCode>
                <c:ptCount val="13"/>
                <c:pt idx="1">
                  <c:v>100</c:v>
                </c:pt>
                <c:pt idx="2">
                  <c:v>99.155200180826725</c:v>
                </c:pt>
                <c:pt idx="3">
                  <c:v>99.735116270138164</c:v>
                </c:pt>
                <c:pt idx="4">
                  <c:v>101.27724691215776</c:v>
                </c:pt>
                <c:pt idx="5">
                  <c:v>103.64515611940219</c:v>
                </c:pt>
                <c:pt idx="6">
                  <c:v>107.22438772997486</c:v>
                </c:pt>
                <c:pt idx="7">
                  <c:v>109.53358247122311</c:v>
                </c:pt>
                <c:pt idx="8">
                  <c:v>110.34740442259768</c:v>
                </c:pt>
                <c:pt idx="9">
                  <c:v>110.36777100895658</c:v>
                </c:pt>
                <c:pt idx="10">
                  <c:v>110.55689364357357</c:v>
                </c:pt>
                <c:pt idx="11">
                  <c:v>110.7260171427401</c:v>
                </c:pt>
                <c:pt idx="12">
                  <c:v>111.63008473220492</c:v>
                </c:pt>
              </c:numCache>
            </c:numRef>
          </c:val>
          <c:smooth val="1"/>
          <c:extLst>
            <c:ext xmlns:c16="http://schemas.microsoft.com/office/drawing/2014/chart" uri="{C3380CC4-5D6E-409C-BE32-E72D297353CC}">
              <c16:uniqueId val="{00000005-FBC6-4678-8498-E45A785FE6AD}"/>
            </c:ext>
          </c:extLst>
        </c:ser>
        <c:dLbls>
          <c:showLegendKey val="0"/>
          <c:showVal val="0"/>
          <c:showCatName val="0"/>
          <c:showSerName val="0"/>
          <c:showPercent val="0"/>
          <c:showBubbleSize val="0"/>
        </c:dLbls>
        <c:smooth val="0"/>
        <c:axId val="192039168"/>
        <c:axId val="192042496"/>
      </c:lineChart>
      <c:catAx>
        <c:axId val="192039168"/>
        <c:scaling>
          <c:orientation val="minMax"/>
        </c:scaling>
        <c:delete val="0"/>
        <c:axPos val="b"/>
        <c:numFmt formatCode="General" sourceLinked="1"/>
        <c:majorTickMark val="out"/>
        <c:minorTickMark val="none"/>
        <c:tickLblPos val="nextTo"/>
        <c:crossAx val="192042496"/>
        <c:crosses val="autoZero"/>
        <c:auto val="1"/>
        <c:lblAlgn val="ctr"/>
        <c:lblOffset val="100"/>
        <c:noMultiLvlLbl val="0"/>
      </c:catAx>
      <c:valAx>
        <c:axId val="192042496"/>
        <c:scaling>
          <c:orientation val="minMax"/>
          <c:max val="130"/>
          <c:min val="90"/>
        </c:scaling>
        <c:delete val="0"/>
        <c:axPos val="l"/>
        <c:majorGridlines/>
        <c:numFmt formatCode="#,##0" sourceLinked="0"/>
        <c:majorTickMark val="out"/>
        <c:minorTickMark val="none"/>
        <c:tickLblPos val="nextTo"/>
        <c:crossAx val="19203916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3935092055098955E-2"/>
          <c:y val="2.3862783358808891E-2"/>
          <c:w val="0.73059767164140976"/>
          <c:h val="0.88427489550637484"/>
        </c:manualLayout>
      </c:layout>
      <c:lineChart>
        <c:grouping val="standard"/>
        <c:varyColors val="0"/>
        <c:ser>
          <c:idx val="0"/>
          <c:order val="0"/>
          <c:tx>
            <c:strRef>
              <c:f>'Figur D - Befolkningsudviklinge'!$A$14</c:f>
              <c:strCache>
                <c:ptCount val="1"/>
                <c:pt idx="0">
                  <c:v>København og Frederiksberg</c:v>
                </c:pt>
              </c:strCache>
            </c:strRef>
          </c:tx>
          <c:marker>
            <c:symbol val="none"/>
          </c:marker>
          <c:cat>
            <c:strRef>
              <c:f>'Figur D - Befolkningsudviklinge'!$B$4:$AB$4</c:f>
              <c:strCache>
                <c:ptCount val="27"/>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strCache>
            </c:strRef>
          </c:cat>
          <c:val>
            <c:numRef>
              <c:f>'Figur D - Befolkningsudviklinge'!$B$14:$AB$14</c:f>
              <c:numCache>
                <c:formatCode>0.00</c:formatCode>
                <c:ptCount val="27"/>
                <c:pt idx="0" formatCode="General">
                  <c:v>100</c:v>
                </c:pt>
                <c:pt idx="1">
                  <c:v>100.25609883933187</c:v>
                </c:pt>
                <c:pt idx="2">
                  <c:v>101.08439875511024</c:v>
                </c:pt>
                <c:pt idx="3">
                  <c:v>102.21181199417317</c:v>
                </c:pt>
                <c:pt idx="4">
                  <c:v>103.53983900293149</c:v>
                </c:pt>
                <c:pt idx="5">
                  <c:v>104.36904258433913</c:v>
                </c:pt>
                <c:pt idx="6">
                  <c:v>105.06179265572871</c:v>
                </c:pt>
                <c:pt idx="7">
                  <c:v>105.91431081037119</c:v>
                </c:pt>
                <c:pt idx="8">
                  <c:v>106.67302847269664</c:v>
                </c:pt>
                <c:pt idx="9">
                  <c:v>106.96744273470908</c:v>
                </c:pt>
                <c:pt idx="10">
                  <c:v>107.12413835482251</c:v>
                </c:pt>
                <c:pt idx="11">
                  <c:v>107.24432588351389</c:v>
                </c:pt>
                <c:pt idx="12">
                  <c:v>107.4002985711239</c:v>
                </c:pt>
                <c:pt idx="13">
                  <c:v>107.17709316069705</c:v>
                </c:pt>
                <c:pt idx="14">
                  <c:v>109.03719849196281</c:v>
                </c:pt>
                <c:pt idx="15">
                  <c:v>110.89838822198365</c:v>
                </c:pt>
                <c:pt idx="16">
                  <c:v>112.9448294060025</c:v>
                </c:pt>
                <c:pt idx="17">
                  <c:v>115.36629182616365</c:v>
                </c:pt>
                <c:pt idx="18">
                  <c:v>117.34369295610716</c:v>
                </c:pt>
                <c:pt idx="19">
                  <c:v>119.54936002400136</c:v>
                </c:pt>
                <c:pt idx="20">
                  <c:v>121.50218144882902</c:v>
                </c:pt>
                <c:pt idx="21">
                  <c:v>123.50868061203467</c:v>
                </c:pt>
                <c:pt idx="22">
                  <c:v>125.78338773400421</c:v>
                </c:pt>
                <c:pt idx="23">
                  <c:v>127.87193973634652</c:v>
                </c:pt>
                <c:pt idx="24">
                  <c:v>129.71180295751688</c:v>
                </c:pt>
                <c:pt idx="25">
                  <c:v>131.45876935199945</c:v>
                </c:pt>
                <c:pt idx="26">
                  <c:v>133.13615349302913</c:v>
                </c:pt>
              </c:numCache>
            </c:numRef>
          </c:val>
          <c:smooth val="1"/>
          <c:extLst>
            <c:ext xmlns:c16="http://schemas.microsoft.com/office/drawing/2014/chart" uri="{C3380CC4-5D6E-409C-BE32-E72D297353CC}">
              <c16:uniqueId val="{00000000-A3C4-4A08-9110-89C40D54F4FB}"/>
            </c:ext>
          </c:extLst>
        </c:ser>
        <c:ser>
          <c:idx val="1"/>
          <c:order val="1"/>
          <c:tx>
            <c:strRef>
              <c:f>'Figur D - Befolkningsudviklinge'!$A$15</c:f>
              <c:strCache>
                <c:ptCount val="1"/>
                <c:pt idx="0">
                  <c:v>Albertslund</c:v>
                </c:pt>
              </c:strCache>
            </c:strRef>
          </c:tx>
          <c:marker>
            <c:symbol val="none"/>
          </c:marker>
          <c:cat>
            <c:strRef>
              <c:f>'Figur D - Befolkningsudviklinge'!$B$4:$AB$4</c:f>
              <c:strCache>
                <c:ptCount val="27"/>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strCache>
            </c:strRef>
          </c:cat>
          <c:val>
            <c:numRef>
              <c:f>'Figur D - Befolkningsudviklinge'!$B$15:$AB$15</c:f>
              <c:numCache>
                <c:formatCode>0.00</c:formatCode>
                <c:ptCount val="27"/>
                <c:pt idx="0" formatCode="General">
                  <c:v>100</c:v>
                </c:pt>
                <c:pt idx="1">
                  <c:v>99.861537941981013</c:v>
                </c:pt>
                <c:pt idx="2">
                  <c:v>99.250278612677718</c:v>
                </c:pt>
                <c:pt idx="3">
                  <c:v>98.635642160008103</c:v>
                </c:pt>
                <c:pt idx="4">
                  <c:v>99.429266151092506</c:v>
                </c:pt>
                <c:pt idx="5">
                  <c:v>99.324575326736692</c:v>
                </c:pt>
                <c:pt idx="6">
                  <c:v>99.000371483570291</c:v>
                </c:pt>
                <c:pt idx="7">
                  <c:v>99.054405457431358</c:v>
                </c:pt>
                <c:pt idx="8">
                  <c:v>98.615379419810196</c:v>
                </c:pt>
                <c:pt idx="9">
                  <c:v>98.37560366080173</c:v>
                </c:pt>
                <c:pt idx="10">
                  <c:v>97.392860761203607</c:v>
                </c:pt>
                <c:pt idx="11">
                  <c:v>96.241261693289658</c:v>
                </c:pt>
                <c:pt idx="12">
                  <c:v>95.052514268346215</c:v>
                </c:pt>
                <c:pt idx="13">
                  <c:v>93.235621897267905</c:v>
                </c:pt>
                <c:pt idx="14">
                  <c:v>93.215359157070012</c:v>
                </c:pt>
                <c:pt idx="15">
                  <c:v>93.566579987166932</c:v>
                </c:pt>
                <c:pt idx="16">
                  <c:v>93.647630947958532</c:v>
                </c:pt>
                <c:pt idx="17">
                  <c:v>93.884029583600693</c:v>
                </c:pt>
                <c:pt idx="18">
                  <c:v>94.100165479044946</c:v>
                </c:pt>
                <c:pt idx="19">
                  <c:v>93.965080544392293</c:v>
                </c:pt>
                <c:pt idx="20">
                  <c:v>93.640876701225892</c:v>
                </c:pt>
                <c:pt idx="21">
                  <c:v>93.904292323798586</c:v>
                </c:pt>
                <c:pt idx="22">
                  <c:v>94.154199452906013</c:v>
                </c:pt>
                <c:pt idx="23">
                  <c:v>94.20823342676708</c:v>
                </c:pt>
                <c:pt idx="24">
                  <c:v>93.691533551720639</c:v>
                </c:pt>
                <c:pt idx="25">
                  <c:v>94.144068082807067</c:v>
                </c:pt>
                <c:pt idx="26">
                  <c:v>93.651008071324853</c:v>
                </c:pt>
              </c:numCache>
            </c:numRef>
          </c:val>
          <c:smooth val="1"/>
          <c:extLst>
            <c:ext xmlns:c16="http://schemas.microsoft.com/office/drawing/2014/chart" uri="{C3380CC4-5D6E-409C-BE32-E72D297353CC}">
              <c16:uniqueId val="{00000001-A3C4-4A08-9110-89C40D54F4FB}"/>
            </c:ext>
          </c:extLst>
        </c:ser>
        <c:ser>
          <c:idx val="2"/>
          <c:order val="2"/>
          <c:tx>
            <c:strRef>
              <c:f>'Figur D - Befolkningsudviklinge'!$A$16</c:f>
              <c:strCache>
                <c:ptCount val="1"/>
                <c:pt idx="0">
                  <c:v>Brøndby</c:v>
                </c:pt>
              </c:strCache>
            </c:strRef>
          </c:tx>
          <c:spPr>
            <a:ln>
              <a:solidFill>
                <a:schemeClr val="accent3"/>
              </a:solidFill>
            </a:ln>
          </c:spPr>
          <c:marker>
            <c:symbol val="none"/>
          </c:marker>
          <c:cat>
            <c:strRef>
              <c:f>'Figur D - Befolkningsudviklinge'!$B$4:$AB$4</c:f>
              <c:strCache>
                <c:ptCount val="27"/>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strCache>
            </c:strRef>
          </c:cat>
          <c:val>
            <c:numRef>
              <c:f>'Figur D - Befolkningsudviklinge'!$B$16:$AB$16</c:f>
              <c:numCache>
                <c:formatCode>0.00</c:formatCode>
                <c:ptCount val="27"/>
                <c:pt idx="0" formatCode="General">
                  <c:v>100</c:v>
                </c:pt>
                <c:pt idx="1">
                  <c:v>99.668108812896335</c:v>
                </c:pt>
                <c:pt idx="2">
                  <c:v>99.505126533515082</c:v>
                </c:pt>
                <c:pt idx="3">
                  <c:v>101.9024476975049</c:v>
                </c:pt>
                <c:pt idx="4">
                  <c:v>102.10987968944467</c:v>
                </c:pt>
                <c:pt idx="5">
                  <c:v>101.81947490072898</c:v>
                </c:pt>
                <c:pt idx="6">
                  <c:v>101.91133764001658</c:v>
                </c:pt>
                <c:pt idx="7">
                  <c:v>101.80169501570558</c:v>
                </c:pt>
                <c:pt idx="8">
                  <c:v>102.22841225626742</c:v>
                </c:pt>
                <c:pt idx="9">
                  <c:v>102.35879807977241</c:v>
                </c:pt>
                <c:pt idx="10">
                  <c:v>102.75588217862858</c:v>
                </c:pt>
                <c:pt idx="11">
                  <c:v>102.85070823208677</c:v>
                </c:pt>
                <c:pt idx="12">
                  <c:v>102.27286196882595</c:v>
                </c:pt>
                <c:pt idx="13">
                  <c:v>100.59562614828424</c:v>
                </c:pt>
                <c:pt idx="14">
                  <c:v>100.2518817044983</c:v>
                </c:pt>
                <c:pt idx="15">
                  <c:v>100.0474130267291</c:v>
                </c:pt>
                <c:pt idx="16">
                  <c:v>100.14520239435785</c:v>
                </c:pt>
                <c:pt idx="17">
                  <c:v>100.8149113969063</c:v>
                </c:pt>
                <c:pt idx="18">
                  <c:v>101.00160018965209</c:v>
                </c:pt>
                <c:pt idx="19">
                  <c:v>101.37497777514372</c:v>
                </c:pt>
                <c:pt idx="20">
                  <c:v>102.47140401825401</c:v>
                </c:pt>
                <c:pt idx="21">
                  <c:v>103.86416167842114</c:v>
                </c:pt>
                <c:pt idx="22">
                  <c:v>104.67018313281574</c:v>
                </c:pt>
                <c:pt idx="23">
                  <c:v>105.47620458721035</c:v>
                </c:pt>
                <c:pt idx="24">
                  <c:v>105.31025899365851</c:v>
                </c:pt>
                <c:pt idx="25">
                  <c:v>104.89243169560838</c:v>
                </c:pt>
                <c:pt idx="26">
                  <c:v>103.98269424524389</c:v>
                </c:pt>
              </c:numCache>
            </c:numRef>
          </c:val>
          <c:smooth val="1"/>
          <c:extLst>
            <c:ext xmlns:c16="http://schemas.microsoft.com/office/drawing/2014/chart" uri="{C3380CC4-5D6E-409C-BE32-E72D297353CC}">
              <c16:uniqueId val="{00000002-A3C4-4A08-9110-89C40D54F4FB}"/>
            </c:ext>
          </c:extLst>
        </c:ser>
        <c:ser>
          <c:idx val="3"/>
          <c:order val="3"/>
          <c:tx>
            <c:strRef>
              <c:f>'Figur D - Befolkningsudviklinge'!$A$17</c:f>
              <c:strCache>
                <c:ptCount val="1"/>
                <c:pt idx="0">
                  <c:v>Hvidovre</c:v>
                </c:pt>
              </c:strCache>
            </c:strRef>
          </c:tx>
          <c:marker>
            <c:symbol val="none"/>
          </c:marker>
          <c:cat>
            <c:strRef>
              <c:f>'Figur D - Befolkningsudviklinge'!$B$4:$AB$4</c:f>
              <c:strCache>
                <c:ptCount val="27"/>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strCache>
            </c:strRef>
          </c:cat>
          <c:val>
            <c:numRef>
              <c:f>'Figur D - Befolkningsudviklinge'!$B$17:$AB$17</c:f>
              <c:numCache>
                <c:formatCode>0.00</c:formatCode>
                <c:ptCount val="27"/>
                <c:pt idx="0" formatCode="General">
                  <c:v>100</c:v>
                </c:pt>
                <c:pt idx="1">
                  <c:v>99.770185698163544</c:v>
                </c:pt>
                <c:pt idx="2">
                  <c:v>99.876885195444757</c:v>
                </c:pt>
                <c:pt idx="3">
                  <c:v>99.989740432953738</c:v>
                </c:pt>
                <c:pt idx="4">
                  <c:v>100.72227352005744</c:v>
                </c:pt>
                <c:pt idx="5">
                  <c:v>100.45757669026368</c:v>
                </c:pt>
                <c:pt idx="6">
                  <c:v>100.8946342464348</c:v>
                </c:pt>
                <c:pt idx="7">
                  <c:v>101.09777367395097</c:v>
                </c:pt>
                <c:pt idx="8">
                  <c:v>101.47532574125373</c:v>
                </c:pt>
                <c:pt idx="9">
                  <c:v>101.92674669128962</c:v>
                </c:pt>
                <c:pt idx="10">
                  <c:v>102.24479326972403</c:v>
                </c:pt>
                <c:pt idx="11">
                  <c:v>102.49717861906227</c:v>
                </c:pt>
                <c:pt idx="12">
                  <c:v>102.31455832563864</c:v>
                </c:pt>
                <c:pt idx="13">
                  <c:v>101.40966451215758</c:v>
                </c:pt>
                <c:pt idx="14">
                  <c:v>101.32348414896893</c:v>
                </c:pt>
                <c:pt idx="15">
                  <c:v>101.29475736123936</c:v>
                </c:pt>
                <c:pt idx="16">
                  <c:v>102.02934236175234</c:v>
                </c:pt>
                <c:pt idx="17">
                  <c:v>102.76187544885606</c:v>
                </c:pt>
                <c:pt idx="18">
                  <c:v>103.82681850825894</c:v>
                </c:pt>
                <c:pt idx="19">
                  <c:v>105.34728634451626</c:v>
                </c:pt>
                <c:pt idx="20">
                  <c:v>106.37529496255257</c:v>
                </c:pt>
                <c:pt idx="21">
                  <c:v>107.4792243767313</c:v>
                </c:pt>
                <c:pt idx="22">
                  <c:v>108.40463732430491</c:v>
                </c:pt>
                <c:pt idx="23">
                  <c:v>108.67754180773572</c:v>
                </c:pt>
                <c:pt idx="24">
                  <c:v>109.33005027187852</c:v>
                </c:pt>
                <c:pt idx="25">
                  <c:v>109.60500666871857</c:v>
                </c:pt>
                <c:pt idx="26">
                  <c:v>109.83276905714578</c:v>
                </c:pt>
              </c:numCache>
            </c:numRef>
          </c:val>
          <c:smooth val="1"/>
          <c:extLst>
            <c:ext xmlns:c16="http://schemas.microsoft.com/office/drawing/2014/chart" uri="{C3380CC4-5D6E-409C-BE32-E72D297353CC}">
              <c16:uniqueId val="{00000003-A3C4-4A08-9110-89C40D54F4FB}"/>
            </c:ext>
          </c:extLst>
        </c:ser>
        <c:ser>
          <c:idx val="4"/>
          <c:order val="4"/>
          <c:tx>
            <c:strRef>
              <c:f>'Figur D - Befolkningsudviklinge'!$A$18</c:f>
              <c:strCache>
                <c:ptCount val="1"/>
                <c:pt idx="0">
                  <c:v>Rødovre</c:v>
                </c:pt>
              </c:strCache>
            </c:strRef>
          </c:tx>
          <c:marker>
            <c:symbol val="none"/>
          </c:marker>
          <c:cat>
            <c:strRef>
              <c:f>'Figur D - Befolkningsudviklinge'!$B$4:$AB$4</c:f>
              <c:strCache>
                <c:ptCount val="27"/>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strCache>
            </c:strRef>
          </c:cat>
          <c:val>
            <c:numRef>
              <c:f>'Figur D - Befolkningsudviklinge'!$B$18:$AB$18</c:f>
              <c:numCache>
                <c:formatCode>0.00</c:formatCode>
                <c:ptCount val="27"/>
                <c:pt idx="0" formatCode="General">
                  <c:v>100</c:v>
                </c:pt>
                <c:pt idx="1">
                  <c:v>99.839337053948924</c:v>
                </c:pt>
                <c:pt idx="2">
                  <c:v>100.03382377811603</c:v>
                </c:pt>
                <c:pt idx="3">
                  <c:v>100.36360561474717</c:v>
                </c:pt>
                <c:pt idx="4">
                  <c:v>100.20012402051977</c:v>
                </c:pt>
                <c:pt idx="5">
                  <c:v>101.0175319916568</c:v>
                </c:pt>
                <c:pt idx="6">
                  <c:v>101.482608940752</c:v>
                </c:pt>
                <c:pt idx="7">
                  <c:v>102.36484581994476</c:v>
                </c:pt>
                <c:pt idx="8">
                  <c:v>103.0525959749704</c:v>
                </c:pt>
                <c:pt idx="9">
                  <c:v>103.13715542026046</c:v>
                </c:pt>
                <c:pt idx="10">
                  <c:v>103.21607756919782</c:v>
                </c:pt>
                <c:pt idx="11">
                  <c:v>102.5734257849935</c:v>
                </c:pt>
                <c:pt idx="12">
                  <c:v>102.35075257906307</c:v>
                </c:pt>
                <c:pt idx="13">
                  <c:v>102.15908450307232</c:v>
                </c:pt>
                <c:pt idx="14">
                  <c:v>101.87721968543886</c:v>
                </c:pt>
                <c:pt idx="15">
                  <c:v>102.11398613225097</c:v>
                </c:pt>
                <c:pt idx="16">
                  <c:v>102.12807937313264</c:v>
                </c:pt>
                <c:pt idx="17">
                  <c:v>102.94830599244602</c:v>
                </c:pt>
                <c:pt idx="18">
                  <c:v>103.96020068775016</c:v>
                </c:pt>
                <c:pt idx="19">
                  <c:v>105.27932803427476</c:v>
                </c:pt>
                <c:pt idx="20">
                  <c:v>105.84587631771802</c:v>
                </c:pt>
                <c:pt idx="21">
                  <c:v>106.38423811939795</c:v>
                </c:pt>
                <c:pt idx="22">
                  <c:v>107.11426799706859</c:v>
                </c:pt>
                <c:pt idx="23">
                  <c:v>108.49540560347258</c:v>
                </c:pt>
                <c:pt idx="24">
                  <c:v>110.89407520153334</c:v>
                </c:pt>
                <c:pt idx="25">
                  <c:v>112.8924967585546</c:v>
                </c:pt>
                <c:pt idx="26">
                  <c:v>114.58368566435537</c:v>
                </c:pt>
              </c:numCache>
            </c:numRef>
          </c:val>
          <c:smooth val="1"/>
          <c:extLst>
            <c:ext xmlns:c16="http://schemas.microsoft.com/office/drawing/2014/chart" uri="{C3380CC4-5D6E-409C-BE32-E72D297353CC}">
              <c16:uniqueId val="{00000004-A3C4-4A08-9110-89C40D54F4FB}"/>
            </c:ext>
          </c:extLst>
        </c:ser>
        <c:ser>
          <c:idx val="5"/>
          <c:order val="5"/>
          <c:tx>
            <c:strRef>
              <c:f>'Figur D - Befolkningsudviklinge'!$A$19</c:f>
              <c:strCache>
                <c:ptCount val="1"/>
                <c:pt idx="0">
                  <c:v>Glostrup</c:v>
                </c:pt>
              </c:strCache>
            </c:strRef>
          </c:tx>
          <c:marker>
            <c:symbol val="none"/>
          </c:marker>
          <c:cat>
            <c:strRef>
              <c:f>'Figur D - Befolkningsudviklinge'!$B$4:$AB$4</c:f>
              <c:strCache>
                <c:ptCount val="27"/>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strCache>
            </c:strRef>
          </c:cat>
          <c:val>
            <c:numRef>
              <c:f>'Figur D - Befolkningsudviklinge'!$B$19:$AB$19</c:f>
              <c:numCache>
                <c:formatCode>0.00</c:formatCode>
                <c:ptCount val="27"/>
                <c:pt idx="0" formatCode="General">
                  <c:v>100</c:v>
                </c:pt>
                <c:pt idx="1">
                  <c:v>100.18283342392647</c:v>
                </c:pt>
                <c:pt idx="2">
                  <c:v>100.12847754113751</c:v>
                </c:pt>
                <c:pt idx="3">
                  <c:v>99.723279142165339</c:v>
                </c:pt>
                <c:pt idx="4">
                  <c:v>99.708454810495624</c:v>
                </c:pt>
                <c:pt idx="5">
                  <c:v>99.342787962642689</c:v>
                </c:pt>
                <c:pt idx="6">
                  <c:v>99.332905074862879</c:v>
                </c:pt>
                <c:pt idx="7">
                  <c:v>99.960468448880775</c:v>
                </c:pt>
                <c:pt idx="8">
                  <c:v>100.20259919948609</c:v>
                </c:pt>
                <c:pt idx="9">
                  <c:v>100.86475268073332</c:v>
                </c:pt>
                <c:pt idx="10">
                  <c:v>101.72456391757672</c:v>
                </c:pt>
                <c:pt idx="11">
                  <c:v>102.74744280278698</c:v>
                </c:pt>
                <c:pt idx="12">
                  <c:v>102.70791125166774</c:v>
                </c:pt>
                <c:pt idx="13">
                  <c:v>101.88269012205366</c:v>
                </c:pt>
                <c:pt idx="14">
                  <c:v>102.15446953599843</c:v>
                </c:pt>
                <c:pt idx="15">
                  <c:v>103.80985323911646</c:v>
                </c:pt>
                <c:pt idx="16">
                  <c:v>105.23298907940901</c:v>
                </c:pt>
                <c:pt idx="17">
                  <c:v>105.66783614172061</c:v>
                </c:pt>
                <c:pt idx="18">
                  <c:v>106.98226021643524</c:v>
                </c:pt>
                <c:pt idx="19">
                  <c:v>108.06443642832436</c:v>
                </c:pt>
                <c:pt idx="20">
                  <c:v>109.03790087463557</c:v>
                </c:pt>
                <c:pt idx="21">
                  <c:v>110.47586104659781</c:v>
                </c:pt>
                <c:pt idx="22">
                  <c:v>110.9897712111479</c:v>
                </c:pt>
                <c:pt idx="23">
                  <c:v>111.32084795177151</c:v>
                </c:pt>
                <c:pt idx="24">
                  <c:v>111.98794287690863</c:v>
                </c:pt>
                <c:pt idx="25">
                  <c:v>111.75075357019321</c:v>
                </c:pt>
                <c:pt idx="26">
                  <c:v>114.28571428571428</c:v>
                </c:pt>
              </c:numCache>
            </c:numRef>
          </c:val>
          <c:smooth val="1"/>
          <c:extLst>
            <c:ext xmlns:c16="http://schemas.microsoft.com/office/drawing/2014/chart" uri="{C3380CC4-5D6E-409C-BE32-E72D297353CC}">
              <c16:uniqueId val="{00000005-A3C4-4A08-9110-89C40D54F4FB}"/>
            </c:ext>
          </c:extLst>
        </c:ser>
        <c:dLbls>
          <c:showLegendKey val="0"/>
          <c:showVal val="0"/>
          <c:showCatName val="0"/>
          <c:showSerName val="0"/>
          <c:showPercent val="0"/>
          <c:showBubbleSize val="0"/>
        </c:dLbls>
        <c:smooth val="0"/>
        <c:axId val="194913024"/>
        <c:axId val="194914560"/>
      </c:lineChart>
      <c:catAx>
        <c:axId val="194913024"/>
        <c:scaling>
          <c:orientation val="minMax"/>
        </c:scaling>
        <c:delete val="0"/>
        <c:axPos val="b"/>
        <c:numFmt formatCode="General" sourceLinked="1"/>
        <c:majorTickMark val="out"/>
        <c:minorTickMark val="none"/>
        <c:tickLblPos val="nextTo"/>
        <c:txPr>
          <a:bodyPr rot="5400000" vert="horz"/>
          <a:lstStyle/>
          <a:p>
            <a:pPr>
              <a:defRPr/>
            </a:pPr>
            <a:endParaRPr lang="da-DK"/>
          </a:p>
        </c:txPr>
        <c:crossAx val="194914560"/>
        <c:crosses val="autoZero"/>
        <c:auto val="1"/>
        <c:lblAlgn val="ctr"/>
        <c:lblOffset val="100"/>
        <c:noMultiLvlLbl val="0"/>
      </c:catAx>
      <c:valAx>
        <c:axId val="194914560"/>
        <c:scaling>
          <c:orientation val="minMax"/>
          <c:max val="140"/>
          <c:min val="80"/>
        </c:scaling>
        <c:delete val="0"/>
        <c:axPos val="l"/>
        <c:majorGridlines/>
        <c:numFmt formatCode="General" sourceLinked="1"/>
        <c:majorTickMark val="out"/>
        <c:minorTickMark val="none"/>
        <c:tickLblPos val="nextTo"/>
        <c:crossAx val="194913024"/>
        <c:crosses val="autoZero"/>
        <c:crossBetween val="between"/>
      </c:valAx>
    </c:plotArea>
    <c:legend>
      <c:legendPos val="r"/>
      <c:layout>
        <c:manualLayout>
          <c:xMode val="edge"/>
          <c:yMode val="edge"/>
          <c:x val="0.83815634156841501"/>
          <c:y val="0.12990473672668063"/>
          <c:w val="0.14939423421745485"/>
          <c:h val="0.63717640979730639"/>
        </c:manualLayout>
      </c:layout>
      <c:overlay val="0"/>
    </c:legend>
    <c:plotVisOnly val="1"/>
    <c:dispBlanksAs val="gap"/>
    <c:showDLblsOverMax val="0"/>
  </c:chart>
  <c:spPr>
    <a:ln>
      <a:noFill/>
    </a:ln>
  </c:spPr>
  <c:txPr>
    <a:bodyPr/>
    <a:lstStyle/>
    <a:p>
      <a:pPr>
        <a:defRPr sz="800"/>
      </a:pPr>
      <a:endParaRPr lang="da-DK"/>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 F - Historisk befolknings'!$A$5</c:f>
              <c:strCache>
                <c:ptCount val="1"/>
                <c:pt idx="0">
                  <c:v>Brøndby</c:v>
                </c:pt>
              </c:strCache>
            </c:strRef>
          </c:tx>
          <c:spPr>
            <a:solidFill>
              <a:schemeClr val="tx2"/>
            </a:solidFill>
            <a:ln w="38100">
              <a:noFill/>
              <a:prstDash val="solid"/>
            </a:ln>
          </c:spPr>
          <c:invertIfNegative val="0"/>
          <c:dPt>
            <c:idx val="33"/>
            <c:invertIfNegative val="0"/>
            <c:bubble3D val="0"/>
            <c:extLst>
              <c:ext xmlns:c16="http://schemas.microsoft.com/office/drawing/2014/chart" uri="{C3380CC4-5D6E-409C-BE32-E72D297353CC}">
                <c16:uniqueId val="{00000000-11FE-4BEA-9773-0B39A165C73E}"/>
              </c:ext>
            </c:extLst>
          </c:dPt>
          <c:dPt>
            <c:idx val="34"/>
            <c:invertIfNegative val="0"/>
            <c:bubble3D val="0"/>
            <c:spPr>
              <a:solidFill>
                <a:schemeClr val="tx2"/>
              </a:solidFill>
              <a:ln w="38100">
                <a:noFill/>
                <a:prstDash val="sysDash"/>
              </a:ln>
            </c:spPr>
            <c:extLst>
              <c:ext xmlns:c16="http://schemas.microsoft.com/office/drawing/2014/chart" uri="{C3380CC4-5D6E-409C-BE32-E72D297353CC}">
                <c16:uniqueId val="{00000002-11FE-4BEA-9773-0B39A165C73E}"/>
              </c:ext>
            </c:extLst>
          </c:dPt>
          <c:dPt>
            <c:idx val="35"/>
            <c:invertIfNegative val="0"/>
            <c:bubble3D val="0"/>
            <c:spPr>
              <a:solidFill>
                <a:schemeClr val="tx2"/>
              </a:solidFill>
              <a:ln w="38100">
                <a:noFill/>
                <a:prstDash val="sysDash"/>
              </a:ln>
            </c:spPr>
            <c:extLst>
              <c:ext xmlns:c16="http://schemas.microsoft.com/office/drawing/2014/chart" uri="{C3380CC4-5D6E-409C-BE32-E72D297353CC}">
                <c16:uniqueId val="{00000004-11FE-4BEA-9773-0B39A165C73E}"/>
              </c:ext>
            </c:extLst>
          </c:dPt>
          <c:dPt>
            <c:idx val="36"/>
            <c:invertIfNegative val="0"/>
            <c:bubble3D val="0"/>
            <c:spPr>
              <a:solidFill>
                <a:schemeClr val="tx2"/>
              </a:solidFill>
              <a:ln w="38100">
                <a:noFill/>
                <a:prstDash val="sysDash"/>
              </a:ln>
            </c:spPr>
            <c:extLst>
              <c:ext xmlns:c16="http://schemas.microsoft.com/office/drawing/2014/chart" uri="{C3380CC4-5D6E-409C-BE32-E72D297353CC}">
                <c16:uniqueId val="{00000006-11FE-4BEA-9773-0B39A165C73E}"/>
              </c:ext>
            </c:extLst>
          </c:dPt>
          <c:dPt>
            <c:idx val="37"/>
            <c:invertIfNegative val="0"/>
            <c:bubble3D val="0"/>
            <c:spPr>
              <a:solidFill>
                <a:schemeClr val="tx2"/>
              </a:solidFill>
              <a:ln w="38100">
                <a:noFill/>
                <a:prstDash val="sysDash"/>
              </a:ln>
            </c:spPr>
            <c:extLst>
              <c:ext xmlns:c16="http://schemas.microsoft.com/office/drawing/2014/chart" uri="{C3380CC4-5D6E-409C-BE32-E72D297353CC}">
                <c16:uniqueId val="{00000008-11FE-4BEA-9773-0B39A165C73E}"/>
              </c:ext>
            </c:extLst>
          </c:dPt>
          <c:dPt>
            <c:idx val="38"/>
            <c:invertIfNegative val="0"/>
            <c:bubble3D val="0"/>
            <c:spPr>
              <a:solidFill>
                <a:schemeClr val="tx2"/>
              </a:solidFill>
              <a:ln w="38100">
                <a:noFill/>
                <a:prstDash val="sysDash"/>
              </a:ln>
            </c:spPr>
            <c:extLst>
              <c:ext xmlns:c16="http://schemas.microsoft.com/office/drawing/2014/chart" uri="{C3380CC4-5D6E-409C-BE32-E72D297353CC}">
                <c16:uniqueId val="{0000000A-11FE-4BEA-9773-0B39A165C73E}"/>
              </c:ext>
            </c:extLst>
          </c:dPt>
          <c:dPt>
            <c:idx val="39"/>
            <c:invertIfNegative val="0"/>
            <c:bubble3D val="0"/>
            <c:spPr>
              <a:solidFill>
                <a:schemeClr val="tx2"/>
              </a:solidFill>
              <a:ln w="38100">
                <a:noFill/>
                <a:prstDash val="sysDash"/>
              </a:ln>
            </c:spPr>
            <c:extLst>
              <c:ext xmlns:c16="http://schemas.microsoft.com/office/drawing/2014/chart" uri="{C3380CC4-5D6E-409C-BE32-E72D297353CC}">
                <c16:uniqueId val="{0000000C-11FE-4BEA-9773-0B39A165C73E}"/>
              </c:ext>
            </c:extLst>
          </c:dPt>
          <c:dPt>
            <c:idx val="40"/>
            <c:invertIfNegative val="0"/>
            <c:bubble3D val="0"/>
            <c:spPr>
              <a:solidFill>
                <a:schemeClr val="tx2">
                  <a:alpha val="68000"/>
                </a:schemeClr>
              </a:solidFill>
              <a:ln w="38100">
                <a:noFill/>
                <a:prstDash val="sysDash"/>
              </a:ln>
            </c:spPr>
            <c:extLst>
              <c:ext xmlns:c16="http://schemas.microsoft.com/office/drawing/2014/chart" uri="{C3380CC4-5D6E-409C-BE32-E72D297353CC}">
                <c16:uniqueId val="{0000000E-11FE-4BEA-9773-0B39A165C73E}"/>
              </c:ext>
            </c:extLst>
          </c:dPt>
          <c:dPt>
            <c:idx val="41"/>
            <c:invertIfNegative val="0"/>
            <c:bubble3D val="0"/>
            <c:spPr>
              <a:solidFill>
                <a:schemeClr val="tx2">
                  <a:alpha val="68000"/>
                </a:schemeClr>
              </a:solidFill>
              <a:ln w="38100">
                <a:noFill/>
                <a:prstDash val="sysDash"/>
              </a:ln>
            </c:spPr>
            <c:extLst>
              <c:ext xmlns:c16="http://schemas.microsoft.com/office/drawing/2014/chart" uri="{C3380CC4-5D6E-409C-BE32-E72D297353CC}">
                <c16:uniqueId val="{00000010-11FE-4BEA-9773-0B39A165C73E}"/>
              </c:ext>
            </c:extLst>
          </c:dPt>
          <c:dPt>
            <c:idx val="42"/>
            <c:invertIfNegative val="0"/>
            <c:bubble3D val="0"/>
            <c:spPr>
              <a:solidFill>
                <a:schemeClr val="tx2">
                  <a:alpha val="68000"/>
                </a:schemeClr>
              </a:solidFill>
              <a:ln w="38100">
                <a:noFill/>
                <a:prstDash val="sysDash"/>
              </a:ln>
            </c:spPr>
            <c:extLst>
              <c:ext xmlns:c16="http://schemas.microsoft.com/office/drawing/2014/chart" uri="{C3380CC4-5D6E-409C-BE32-E72D297353CC}">
                <c16:uniqueId val="{00000012-11FE-4BEA-9773-0B39A165C73E}"/>
              </c:ext>
            </c:extLst>
          </c:dPt>
          <c:dPt>
            <c:idx val="43"/>
            <c:invertIfNegative val="0"/>
            <c:bubble3D val="0"/>
            <c:spPr>
              <a:solidFill>
                <a:schemeClr val="tx2">
                  <a:alpha val="68000"/>
                </a:schemeClr>
              </a:solidFill>
              <a:ln w="38100">
                <a:noFill/>
                <a:prstDash val="sysDash"/>
              </a:ln>
            </c:spPr>
            <c:extLst>
              <c:ext xmlns:c16="http://schemas.microsoft.com/office/drawing/2014/chart" uri="{C3380CC4-5D6E-409C-BE32-E72D297353CC}">
                <c16:uniqueId val="{00000014-11FE-4BEA-9773-0B39A165C73E}"/>
              </c:ext>
            </c:extLst>
          </c:dPt>
          <c:dPt>
            <c:idx val="44"/>
            <c:invertIfNegative val="0"/>
            <c:bubble3D val="0"/>
            <c:spPr>
              <a:solidFill>
                <a:schemeClr val="tx2">
                  <a:alpha val="68000"/>
                </a:schemeClr>
              </a:solidFill>
              <a:ln w="38100">
                <a:noFill/>
                <a:prstDash val="sysDash"/>
              </a:ln>
            </c:spPr>
            <c:extLst>
              <c:ext xmlns:c16="http://schemas.microsoft.com/office/drawing/2014/chart" uri="{C3380CC4-5D6E-409C-BE32-E72D297353CC}">
                <c16:uniqueId val="{00000016-11FE-4BEA-9773-0B39A165C73E}"/>
              </c:ext>
            </c:extLst>
          </c:dPt>
          <c:dPt>
            <c:idx val="45"/>
            <c:invertIfNegative val="0"/>
            <c:bubble3D val="0"/>
            <c:spPr>
              <a:solidFill>
                <a:schemeClr val="tx2">
                  <a:alpha val="68000"/>
                </a:schemeClr>
              </a:solidFill>
              <a:ln w="38100">
                <a:noFill/>
                <a:prstDash val="solid"/>
              </a:ln>
            </c:spPr>
            <c:extLst>
              <c:ext xmlns:c16="http://schemas.microsoft.com/office/drawing/2014/chart" uri="{C3380CC4-5D6E-409C-BE32-E72D297353CC}">
                <c16:uniqueId val="{00000018-11FE-4BEA-9773-0B39A165C73E}"/>
              </c:ext>
            </c:extLst>
          </c:dPt>
          <c:dPt>
            <c:idx val="46"/>
            <c:invertIfNegative val="0"/>
            <c:bubble3D val="0"/>
            <c:spPr>
              <a:solidFill>
                <a:schemeClr val="tx2">
                  <a:alpha val="68000"/>
                </a:schemeClr>
              </a:solidFill>
              <a:ln w="38100">
                <a:noFill/>
                <a:prstDash val="solid"/>
              </a:ln>
            </c:spPr>
            <c:extLst>
              <c:ext xmlns:c16="http://schemas.microsoft.com/office/drawing/2014/chart" uri="{C3380CC4-5D6E-409C-BE32-E72D297353CC}">
                <c16:uniqueId val="{0000001A-11FE-4BEA-9773-0B39A165C73E}"/>
              </c:ext>
            </c:extLst>
          </c:dPt>
          <c:dPt>
            <c:idx val="47"/>
            <c:invertIfNegative val="0"/>
            <c:bubble3D val="0"/>
            <c:spPr>
              <a:solidFill>
                <a:schemeClr val="accent1">
                  <a:lumMod val="75000"/>
                  <a:alpha val="77000"/>
                </a:schemeClr>
              </a:solidFill>
              <a:ln w="38100">
                <a:noFill/>
                <a:prstDash val="solid"/>
              </a:ln>
            </c:spPr>
            <c:extLst>
              <c:ext xmlns:c16="http://schemas.microsoft.com/office/drawing/2014/chart" uri="{C3380CC4-5D6E-409C-BE32-E72D297353CC}">
                <c16:uniqueId val="{0000001C-11FE-4BEA-9773-0B39A165C73E}"/>
              </c:ext>
            </c:extLst>
          </c:dPt>
          <c:dPt>
            <c:idx val="48"/>
            <c:invertIfNegative val="0"/>
            <c:bubble3D val="0"/>
            <c:spPr>
              <a:solidFill>
                <a:schemeClr val="tx2">
                  <a:alpha val="71000"/>
                </a:schemeClr>
              </a:solidFill>
              <a:ln w="38100">
                <a:noFill/>
                <a:prstDash val="solid"/>
              </a:ln>
            </c:spPr>
            <c:extLst>
              <c:ext xmlns:c16="http://schemas.microsoft.com/office/drawing/2014/chart" uri="{C3380CC4-5D6E-409C-BE32-E72D297353CC}">
                <c16:uniqueId val="{0000001E-11FE-4BEA-9773-0B39A165C73E}"/>
              </c:ext>
            </c:extLst>
          </c:dPt>
          <c:dPt>
            <c:idx val="49"/>
            <c:invertIfNegative val="0"/>
            <c:bubble3D val="0"/>
            <c:spPr>
              <a:solidFill>
                <a:schemeClr val="tx2">
                  <a:alpha val="71000"/>
                </a:schemeClr>
              </a:solidFill>
              <a:ln w="38100">
                <a:noFill/>
                <a:prstDash val="solid"/>
              </a:ln>
            </c:spPr>
            <c:extLst>
              <c:ext xmlns:c16="http://schemas.microsoft.com/office/drawing/2014/chart" uri="{C3380CC4-5D6E-409C-BE32-E72D297353CC}">
                <c16:uniqueId val="{00000020-11FE-4BEA-9773-0B39A165C73E}"/>
              </c:ext>
            </c:extLst>
          </c:dPt>
          <c:dPt>
            <c:idx val="50"/>
            <c:invertIfNegative val="0"/>
            <c:bubble3D val="0"/>
            <c:spPr>
              <a:solidFill>
                <a:schemeClr val="tx2">
                  <a:alpha val="70000"/>
                </a:schemeClr>
              </a:solidFill>
              <a:ln w="38100">
                <a:noFill/>
                <a:prstDash val="solid"/>
              </a:ln>
            </c:spPr>
            <c:extLst>
              <c:ext xmlns:c16="http://schemas.microsoft.com/office/drawing/2014/chart" uri="{C3380CC4-5D6E-409C-BE32-E72D297353CC}">
                <c16:uniqueId val="{00000022-11FE-4BEA-9773-0B39A165C73E}"/>
              </c:ext>
            </c:extLst>
          </c:dPt>
          <c:dLbls>
            <c:numFmt formatCode="#,##0" sourceLinked="0"/>
            <c:spPr>
              <a:noFill/>
              <a:ln>
                <a:noFill/>
              </a:ln>
              <a:effectLst/>
            </c:spPr>
            <c:txPr>
              <a:bodyPr rot="5400000" vert="horz"/>
              <a:lstStyle/>
              <a:p>
                <a:pPr>
                  <a:defRPr sz="600">
                    <a:solidFill>
                      <a:schemeClr val="bg1"/>
                    </a:solidFill>
                  </a:defRPr>
                </a:pPr>
                <a:endParaRPr lang="da-D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 F - Historisk befolknings'!$D$4:$BA$4</c:f>
              <c:strCache>
                <c:ptCount val="50"/>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pt idx="40">
                  <c:v>2021</c:v>
                </c:pt>
                <c:pt idx="41">
                  <c:v>2022</c:v>
                </c:pt>
                <c:pt idx="42">
                  <c:v>2023</c:v>
                </c:pt>
                <c:pt idx="43">
                  <c:v>2024</c:v>
                </c:pt>
                <c:pt idx="44">
                  <c:v>2025</c:v>
                </c:pt>
                <c:pt idx="45">
                  <c:v>2026</c:v>
                </c:pt>
                <c:pt idx="46">
                  <c:v>2027</c:v>
                </c:pt>
                <c:pt idx="47">
                  <c:v>2028</c:v>
                </c:pt>
                <c:pt idx="48">
                  <c:v>2029</c:v>
                </c:pt>
                <c:pt idx="49">
                  <c:v>2030</c:v>
                </c:pt>
              </c:strCache>
            </c:strRef>
          </c:cat>
          <c:val>
            <c:numRef>
              <c:f>'Figur F - Historisk befolknings'!$D$5:$BA$5</c:f>
              <c:numCache>
                <c:formatCode>General</c:formatCode>
                <c:ptCount val="50"/>
                <c:pt idx="0">
                  <c:v>37615</c:v>
                </c:pt>
                <c:pt idx="1">
                  <c:v>37130</c:v>
                </c:pt>
                <c:pt idx="2">
                  <c:v>36749</c:v>
                </c:pt>
                <c:pt idx="3">
                  <c:v>36186</c:v>
                </c:pt>
                <c:pt idx="4">
                  <c:v>35474</c:v>
                </c:pt>
                <c:pt idx="5">
                  <c:v>35302</c:v>
                </c:pt>
                <c:pt idx="6">
                  <c:v>34881</c:v>
                </c:pt>
                <c:pt idx="7">
                  <c:v>34704</c:v>
                </c:pt>
                <c:pt idx="8">
                  <c:v>34359</c:v>
                </c:pt>
                <c:pt idx="9">
                  <c:v>34041</c:v>
                </c:pt>
                <c:pt idx="10">
                  <c:v>33807</c:v>
                </c:pt>
                <c:pt idx="11">
                  <c:v>33794</c:v>
                </c:pt>
                <c:pt idx="12">
                  <c:v>33746</c:v>
                </c:pt>
                <c:pt idx="13">
                  <c:v>33634</c:v>
                </c:pt>
                <c:pt idx="14">
                  <c:v>33579</c:v>
                </c:pt>
                <c:pt idx="15">
                  <c:v>34388</c:v>
                </c:pt>
                <c:pt idx="16">
                  <c:v>34458</c:v>
                </c:pt>
                <c:pt idx="17">
                  <c:v>34360</c:v>
                </c:pt>
                <c:pt idx="18">
                  <c:v>34391</c:v>
                </c:pt>
                <c:pt idx="19">
                  <c:v>34354</c:v>
                </c:pt>
                <c:pt idx="20">
                  <c:v>34498</c:v>
                </c:pt>
                <c:pt idx="21">
                  <c:v>34542</c:v>
                </c:pt>
                <c:pt idx="22">
                  <c:v>34676</c:v>
                </c:pt>
                <c:pt idx="23">
                  <c:v>34708</c:v>
                </c:pt>
                <c:pt idx="24">
                  <c:v>34513</c:v>
                </c:pt>
                <c:pt idx="25" formatCode="#,##0">
                  <c:v>34247</c:v>
                </c:pt>
                <c:pt idx="26" formatCode="#,##0">
                  <c:v>33807</c:v>
                </c:pt>
                <c:pt idx="27" formatCode="#,##0">
                  <c:v>33728</c:v>
                </c:pt>
                <c:pt idx="28" formatCode="#,##0">
                  <c:v>33749</c:v>
                </c:pt>
                <c:pt idx="29" formatCode="#,##0">
                  <c:v>33995</c:v>
                </c:pt>
                <c:pt idx="30" formatCode="#,##0">
                  <c:v>34078</c:v>
                </c:pt>
                <c:pt idx="31" formatCode="#,##0">
                  <c:v>34215</c:v>
                </c:pt>
                <c:pt idx="32" formatCode="#,##0">
                  <c:v>34581</c:v>
                </c:pt>
                <c:pt idx="33" formatCode="#,##0">
                  <c:v>35048</c:v>
                </c:pt>
                <c:pt idx="34" formatCode="#,##0">
                  <c:v>35327</c:v>
                </c:pt>
                <c:pt idx="35" formatCode="#,##0">
                  <c:v>35601</c:v>
                </c:pt>
                <c:pt idx="36" formatCode="#,##0">
                  <c:v>35541</c:v>
                </c:pt>
                <c:pt idx="37" formatCode="#,##0">
                  <c:v>35393</c:v>
                </c:pt>
                <c:pt idx="38" formatCode="0">
                  <c:v>35094</c:v>
                </c:pt>
                <c:pt idx="39" formatCode="0">
                  <c:v>35299</c:v>
                </c:pt>
                <c:pt idx="40" formatCode="0">
                  <c:v>35845</c:v>
                </c:pt>
                <c:pt idx="41" formatCode="0">
                  <c:v>36683</c:v>
                </c:pt>
                <c:pt idx="42" formatCode="0">
                  <c:v>37950</c:v>
                </c:pt>
                <c:pt idx="43" formatCode="0">
                  <c:v>38767</c:v>
                </c:pt>
                <c:pt idx="44" formatCode="0">
                  <c:v>39055</c:v>
                </c:pt>
                <c:pt idx="45" formatCode="0">
                  <c:v>39062</c:v>
                </c:pt>
                <c:pt idx="46" formatCode="0">
                  <c:v>39129</c:v>
                </c:pt>
                <c:pt idx="47" formatCode="0">
                  <c:v>39189</c:v>
                </c:pt>
                <c:pt idx="48" formatCode="0">
                  <c:v>39175</c:v>
                </c:pt>
                <c:pt idx="49" formatCode="0">
                  <c:v>39154</c:v>
                </c:pt>
              </c:numCache>
            </c:numRef>
          </c:val>
          <c:extLst>
            <c:ext xmlns:c16="http://schemas.microsoft.com/office/drawing/2014/chart" uri="{C3380CC4-5D6E-409C-BE32-E72D297353CC}">
              <c16:uniqueId val="{00000023-11FE-4BEA-9773-0B39A165C73E}"/>
            </c:ext>
          </c:extLst>
        </c:ser>
        <c:dLbls>
          <c:showLegendKey val="0"/>
          <c:showVal val="0"/>
          <c:showCatName val="0"/>
          <c:showSerName val="0"/>
          <c:showPercent val="0"/>
          <c:showBubbleSize val="0"/>
        </c:dLbls>
        <c:gapWidth val="75"/>
        <c:overlap val="-25"/>
        <c:axId val="199335296"/>
        <c:axId val="199333760"/>
      </c:barChart>
      <c:lineChart>
        <c:grouping val="standard"/>
        <c:varyColors val="0"/>
        <c:ser>
          <c:idx val="1"/>
          <c:order val="1"/>
          <c:tx>
            <c:strRef>
              <c:f>'Figur F - Historisk befolknings'!$A$6</c:f>
              <c:strCache>
                <c:ptCount val="1"/>
                <c:pt idx="0">
                  <c:v>Indeks</c:v>
                </c:pt>
              </c:strCache>
            </c:strRef>
          </c:tx>
          <c:spPr>
            <a:ln w="28575">
              <a:prstDash val="solid"/>
            </a:ln>
          </c:spPr>
          <c:marker>
            <c:symbol val="none"/>
          </c:marker>
          <c:dPt>
            <c:idx val="0"/>
            <c:bubble3D val="0"/>
            <c:spPr>
              <a:ln w="28575">
                <a:prstDash val="sysDash"/>
              </a:ln>
            </c:spPr>
            <c:extLst>
              <c:ext xmlns:c16="http://schemas.microsoft.com/office/drawing/2014/chart" uri="{C3380CC4-5D6E-409C-BE32-E72D297353CC}">
                <c16:uniqueId val="{00000025-11FE-4BEA-9773-0B39A165C73E}"/>
              </c:ext>
            </c:extLst>
          </c:dPt>
          <c:dPt>
            <c:idx val="35"/>
            <c:bubble3D val="0"/>
            <c:extLst>
              <c:ext xmlns:c16="http://schemas.microsoft.com/office/drawing/2014/chart" uri="{C3380CC4-5D6E-409C-BE32-E72D297353CC}">
                <c16:uniqueId val="{00000026-11FE-4BEA-9773-0B39A165C73E}"/>
              </c:ext>
            </c:extLst>
          </c:dPt>
          <c:dPt>
            <c:idx val="36"/>
            <c:bubble3D val="0"/>
            <c:extLst>
              <c:ext xmlns:c16="http://schemas.microsoft.com/office/drawing/2014/chart" uri="{C3380CC4-5D6E-409C-BE32-E72D297353CC}">
                <c16:uniqueId val="{00000027-11FE-4BEA-9773-0B39A165C73E}"/>
              </c:ext>
            </c:extLst>
          </c:dPt>
          <c:dPt>
            <c:idx val="37"/>
            <c:bubble3D val="0"/>
            <c:extLst>
              <c:ext xmlns:c16="http://schemas.microsoft.com/office/drawing/2014/chart" uri="{C3380CC4-5D6E-409C-BE32-E72D297353CC}">
                <c16:uniqueId val="{00000028-11FE-4BEA-9773-0B39A165C73E}"/>
              </c:ext>
            </c:extLst>
          </c:dPt>
          <c:dPt>
            <c:idx val="38"/>
            <c:bubble3D val="0"/>
            <c:extLst>
              <c:ext xmlns:c16="http://schemas.microsoft.com/office/drawing/2014/chart" uri="{C3380CC4-5D6E-409C-BE32-E72D297353CC}">
                <c16:uniqueId val="{00000029-11FE-4BEA-9773-0B39A165C73E}"/>
              </c:ext>
            </c:extLst>
          </c:dPt>
          <c:dPt>
            <c:idx val="39"/>
            <c:bubble3D val="0"/>
            <c:spPr>
              <a:ln w="28575">
                <a:prstDash val="sysDash"/>
              </a:ln>
            </c:spPr>
            <c:extLst>
              <c:ext xmlns:c16="http://schemas.microsoft.com/office/drawing/2014/chart" uri="{C3380CC4-5D6E-409C-BE32-E72D297353CC}">
                <c16:uniqueId val="{0000002B-11FE-4BEA-9773-0B39A165C73E}"/>
              </c:ext>
            </c:extLst>
          </c:dPt>
          <c:dPt>
            <c:idx val="40"/>
            <c:bubble3D val="0"/>
            <c:spPr>
              <a:ln w="28575">
                <a:prstDash val="sysDash"/>
              </a:ln>
            </c:spPr>
            <c:extLst>
              <c:ext xmlns:c16="http://schemas.microsoft.com/office/drawing/2014/chart" uri="{C3380CC4-5D6E-409C-BE32-E72D297353CC}">
                <c16:uniqueId val="{0000002D-11FE-4BEA-9773-0B39A165C73E}"/>
              </c:ext>
            </c:extLst>
          </c:dPt>
          <c:dPt>
            <c:idx val="41"/>
            <c:bubble3D val="0"/>
            <c:spPr>
              <a:ln w="28575">
                <a:prstDash val="sysDash"/>
              </a:ln>
            </c:spPr>
            <c:extLst>
              <c:ext xmlns:c16="http://schemas.microsoft.com/office/drawing/2014/chart" uri="{C3380CC4-5D6E-409C-BE32-E72D297353CC}">
                <c16:uniqueId val="{0000002F-11FE-4BEA-9773-0B39A165C73E}"/>
              </c:ext>
            </c:extLst>
          </c:dPt>
          <c:dPt>
            <c:idx val="42"/>
            <c:bubble3D val="0"/>
            <c:spPr>
              <a:ln w="28575">
                <a:prstDash val="sysDash"/>
              </a:ln>
            </c:spPr>
            <c:extLst>
              <c:ext xmlns:c16="http://schemas.microsoft.com/office/drawing/2014/chart" uri="{C3380CC4-5D6E-409C-BE32-E72D297353CC}">
                <c16:uniqueId val="{00000031-11FE-4BEA-9773-0B39A165C73E}"/>
              </c:ext>
            </c:extLst>
          </c:dPt>
          <c:dPt>
            <c:idx val="43"/>
            <c:bubble3D val="0"/>
            <c:spPr>
              <a:ln w="28575">
                <a:prstDash val="sysDash"/>
              </a:ln>
            </c:spPr>
            <c:extLst>
              <c:ext xmlns:c16="http://schemas.microsoft.com/office/drawing/2014/chart" uri="{C3380CC4-5D6E-409C-BE32-E72D297353CC}">
                <c16:uniqueId val="{00000033-11FE-4BEA-9773-0B39A165C73E}"/>
              </c:ext>
            </c:extLst>
          </c:dPt>
          <c:dPt>
            <c:idx val="44"/>
            <c:bubble3D val="0"/>
            <c:spPr>
              <a:ln w="28575">
                <a:prstDash val="sysDash"/>
              </a:ln>
            </c:spPr>
            <c:extLst>
              <c:ext xmlns:c16="http://schemas.microsoft.com/office/drawing/2014/chart" uri="{C3380CC4-5D6E-409C-BE32-E72D297353CC}">
                <c16:uniqueId val="{00000035-11FE-4BEA-9773-0B39A165C73E}"/>
              </c:ext>
            </c:extLst>
          </c:dPt>
          <c:dPt>
            <c:idx val="45"/>
            <c:bubble3D val="0"/>
            <c:spPr>
              <a:ln w="28575">
                <a:prstDash val="sysDash"/>
              </a:ln>
            </c:spPr>
            <c:extLst>
              <c:ext xmlns:c16="http://schemas.microsoft.com/office/drawing/2014/chart" uri="{C3380CC4-5D6E-409C-BE32-E72D297353CC}">
                <c16:uniqueId val="{00000037-11FE-4BEA-9773-0B39A165C73E}"/>
              </c:ext>
            </c:extLst>
          </c:dPt>
          <c:dPt>
            <c:idx val="46"/>
            <c:bubble3D val="0"/>
            <c:spPr>
              <a:ln w="28575">
                <a:prstDash val="sysDash"/>
              </a:ln>
            </c:spPr>
            <c:extLst>
              <c:ext xmlns:c16="http://schemas.microsoft.com/office/drawing/2014/chart" uri="{C3380CC4-5D6E-409C-BE32-E72D297353CC}">
                <c16:uniqueId val="{00000039-11FE-4BEA-9773-0B39A165C73E}"/>
              </c:ext>
            </c:extLst>
          </c:dPt>
          <c:dPt>
            <c:idx val="47"/>
            <c:bubble3D val="0"/>
            <c:spPr>
              <a:ln w="28575">
                <a:prstDash val="sysDash"/>
              </a:ln>
            </c:spPr>
            <c:extLst>
              <c:ext xmlns:c16="http://schemas.microsoft.com/office/drawing/2014/chart" uri="{C3380CC4-5D6E-409C-BE32-E72D297353CC}">
                <c16:uniqueId val="{0000003B-11FE-4BEA-9773-0B39A165C73E}"/>
              </c:ext>
            </c:extLst>
          </c:dPt>
          <c:dPt>
            <c:idx val="48"/>
            <c:bubble3D val="0"/>
            <c:spPr>
              <a:ln w="28575">
                <a:prstDash val="sysDash"/>
              </a:ln>
            </c:spPr>
            <c:extLst>
              <c:ext xmlns:c16="http://schemas.microsoft.com/office/drawing/2014/chart" uri="{C3380CC4-5D6E-409C-BE32-E72D297353CC}">
                <c16:uniqueId val="{0000003D-11FE-4BEA-9773-0B39A165C73E}"/>
              </c:ext>
            </c:extLst>
          </c:dPt>
          <c:dPt>
            <c:idx val="49"/>
            <c:bubble3D val="0"/>
            <c:spPr>
              <a:ln w="28575">
                <a:prstDash val="sysDash"/>
              </a:ln>
            </c:spPr>
            <c:extLst>
              <c:ext xmlns:c16="http://schemas.microsoft.com/office/drawing/2014/chart" uri="{C3380CC4-5D6E-409C-BE32-E72D297353CC}">
                <c16:uniqueId val="{0000003F-11FE-4BEA-9773-0B39A165C73E}"/>
              </c:ext>
            </c:extLst>
          </c:dPt>
          <c:dLbls>
            <c:numFmt formatCode="#,##0" sourceLinked="0"/>
            <c:spPr>
              <a:noFill/>
              <a:ln>
                <a:noFill/>
              </a:ln>
              <a:effectLst/>
            </c:spPr>
            <c:txPr>
              <a:bodyPr/>
              <a:lstStyle/>
              <a:p>
                <a:pPr>
                  <a:defRPr sz="600"/>
                </a:pPr>
                <a:endParaRPr lang="da-D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 F - Historisk befolknings'!$D$4:$BA$4</c:f>
              <c:strCache>
                <c:ptCount val="50"/>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pt idx="40">
                  <c:v>2021</c:v>
                </c:pt>
                <c:pt idx="41">
                  <c:v>2022</c:v>
                </c:pt>
                <c:pt idx="42">
                  <c:v>2023</c:v>
                </c:pt>
                <c:pt idx="43">
                  <c:v>2024</c:v>
                </c:pt>
                <c:pt idx="44">
                  <c:v>2025</c:v>
                </c:pt>
                <c:pt idx="45">
                  <c:v>2026</c:v>
                </c:pt>
                <c:pt idx="46">
                  <c:v>2027</c:v>
                </c:pt>
                <c:pt idx="47">
                  <c:v>2028</c:v>
                </c:pt>
                <c:pt idx="48">
                  <c:v>2029</c:v>
                </c:pt>
                <c:pt idx="49">
                  <c:v>2030</c:v>
                </c:pt>
              </c:strCache>
            </c:strRef>
          </c:cat>
          <c:val>
            <c:numRef>
              <c:f>'Figur F - Historisk befolknings'!$D$6:$BA$6</c:f>
              <c:numCache>
                <c:formatCode>General</c:formatCode>
                <c:ptCount val="50"/>
                <c:pt idx="0">
                  <c:v>107.18356414201857</c:v>
                </c:pt>
                <c:pt idx="1">
                  <c:v>105.80156152048784</c:v>
                </c:pt>
                <c:pt idx="2">
                  <c:v>104.71590585285233</c:v>
                </c:pt>
                <c:pt idx="3">
                  <c:v>103.11164301590014</c:v>
                </c:pt>
                <c:pt idx="4">
                  <c:v>101.08280617769418</c:v>
                </c:pt>
                <c:pt idx="5">
                  <c:v>100.5926939077905</c:v>
                </c:pt>
                <c:pt idx="6">
                  <c:v>99.393058642502993</c:v>
                </c:pt>
                <c:pt idx="7">
                  <c:v>98.8886989228928</c:v>
                </c:pt>
                <c:pt idx="8">
                  <c:v>97.905624893144122</c:v>
                </c:pt>
                <c:pt idx="9">
                  <c:v>96.999487091810565</c:v>
                </c:pt>
                <c:pt idx="10">
                  <c:v>96.332706445546251</c:v>
                </c:pt>
                <c:pt idx="11">
                  <c:v>96.295663076309353</c:v>
                </c:pt>
                <c:pt idx="12">
                  <c:v>96.15888755912691</c:v>
                </c:pt>
                <c:pt idx="13">
                  <c:v>95.839744685701262</c:v>
                </c:pt>
                <c:pt idx="14">
                  <c:v>95.683022738929736</c:v>
                </c:pt>
                <c:pt idx="15">
                  <c:v>97.988260101441838</c:v>
                </c:pt>
                <c:pt idx="16">
                  <c:v>98.187724397332872</c:v>
                </c:pt>
                <c:pt idx="17">
                  <c:v>97.908474383085434</c:v>
                </c:pt>
                <c:pt idx="18">
                  <c:v>97.996808571265746</c:v>
                </c:pt>
                <c:pt idx="19">
                  <c:v>97.891377443437619</c:v>
                </c:pt>
                <c:pt idx="20">
                  <c:v>98.301703994984905</c:v>
                </c:pt>
                <c:pt idx="21">
                  <c:v>98.427081552402115</c:v>
                </c:pt>
                <c:pt idx="22">
                  <c:v>98.808913204536381</c:v>
                </c:pt>
                <c:pt idx="23">
                  <c:v>98.900096882658005</c:v>
                </c:pt>
                <c:pt idx="24">
                  <c:v>98.344446344104412</c:v>
                </c:pt>
                <c:pt idx="25">
                  <c:v>97.586482019718474</c:v>
                </c:pt>
                <c:pt idx="26">
                  <c:v>96.332706445546251</c:v>
                </c:pt>
                <c:pt idx="27">
                  <c:v>96.10759674018351</c:v>
                </c:pt>
                <c:pt idx="28">
                  <c:v>96.167436028950817</c:v>
                </c:pt>
                <c:pt idx="29">
                  <c:v>96.868410554510746</c:v>
                </c:pt>
                <c:pt idx="30">
                  <c:v>97.104918219638677</c:v>
                </c:pt>
                <c:pt idx="31">
                  <c:v>97.495298341596865</c:v>
                </c:pt>
                <c:pt idx="32">
                  <c:v>98.538211660112836</c:v>
                </c:pt>
                <c:pt idx="33">
                  <c:v>99.868923462700181</c:v>
                </c:pt>
                <c:pt idx="34">
                  <c:v>100.66393115632302</c:v>
                </c:pt>
                <c:pt idx="35">
                  <c:v>101.44469140023935</c:v>
                </c:pt>
                <c:pt idx="36">
                  <c:v>101.27372200376132</c:v>
                </c:pt>
                <c:pt idx="37">
                  <c:v>100.85199749244885</c:v>
                </c:pt>
                <c:pt idx="38">
                  <c:v>100</c:v>
                </c:pt>
                <c:pt idx="39">
                  <c:v>100.58414543796661</c:v>
                </c:pt>
                <c:pt idx="40">
                  <c:v>102.13996694591667</c:v>
                </c:pt>
                <c:pt idx="41">
                  <c:v>104.5278395167265</c:v>
                </c:pt>
                <c:pt idx="42">
                  <c:v>108.13814327235424</c:v>
                </c:pt>
                <c:pt idx="43">
                  <c:v>110.46617655439677</c:v>
                </c:pt>
                <c:pt idx="44">
                  <c:v>111.28682965749131</c:v>
                </c:pt>
                <c:pt idx="45">
                  <c:v>111.30677608708042</c:v>
                </c:pt>
                <c:pt idx="46">
                  <c:v>111.49769191314756</c:v>
                </c:pt>
                <c:pt idx="47">
                  <c:v>111.66866130962558</c:v>
                </c:pt>
                <c:pt idx="48">
                  <c:v>111.62876845044738</c:v>
                </c:pt>
                <c:pt idx="49">
                  <c:v>111.56892916168006</c:v>
                </c:pt>
              </c:numCache>
            </c:numRef>
          </c:val>
          <c:smooth val="1"/>
          <c:extLst>
            <c:ext xmlns:c16="http://schemas.microsoft.com/office/drawing/2014/chart" uri="{C3380CC4-5D6E-409C-BE32-E72D297353CC}">
              <c16:uniqueId val="{00000040-11FE-4BEA-9773-0B39A165C73E}"/>
            </c:ext>
          </c:extLst>
        </c:ser>
        <c:dLbls>
          <c:showLegendKey val="0"/>
          <c:showVal val="0"/>
          <c:showCatName val="0"/>
          <c:showSerName val="0"/>
          <c:showPercent val="0"/>
          <c:showBubbleSize val="0"/>
        </c:dLbls>
        <c:marker val="1"/>
        <c:smooth val="0"/>
        <c:axId val="199330432"/>
        <c:axId val="199332224"/>
      </c:lineChart>
      <c:catAx>
        <c:axId val="199330432"/>
        <c:scaling>
          <c:orientation val="minMax"/>
        </c:scaling>
        <c:delete val="0"/>
        <c:axPos val="b"/>
        <c:numFmt formatCode="General" sourceLinked="1"/>
        <c:majorTickMark val="none"/>
        <c:minorTickMark val="none"/>
        <c:tickLblPos val="nextTo"/>
        <c:spPr>
          <a:ln w="3175">
            <a:solidFill>
              <a:srgbClr val="000000"/>
            </a:solidFill>
            <a:prstDash val="solid"/>
          </a:ln>
        </c:spPr>
        <c:txPr>
          <a:bodyPr rot="5400000" vert="horz"/>
          <a:lstStyle/>
          <a:p>
            <a:pPr>
              <a:defRPr sz="700"/>
            </a:pPr>
            <a:endParaRPr lang="da-DK"/>
          </a:p>
        </c:txPr>
        <c:crossAx val="199332224"/>
        <c:crosses val="autoZero"/>
        <c:auto val="1"/>
        <c:lblAlgn val="ctr"/>
        <c:lblOffset val="100"/>
        <c:tickLblSkip val="1"/>
        <c:tickMarkSkip val="1979"/>
        <c:noMultiLvlLbl val="0"/>
      </c:catAx>
      <c:valAx>
        <c:axId val="199332224"/>
        <c:scaling>
          <c:orientation val="minMax"/>
          <c:max val="115"/>
          <c:min val="85"/>
        </c:scaling>
        <c:delete val="0"/>
        <c:axPos val="l"/>
        <c:majorGridlines>
          <c:spPr>
            <a:ln w="3175">
              <a:solidFill>
                <a:srgbClr val="000000"/>
              </a:solidFill>
              <a:prstDash val="solid"/>
            </a:ln>
          </c:spPr>
        </c:majorGridlines>
        <c:numFmt formatCode="General" sourceLinked="1"/>
        <c:majorTickMark val="none"/>
        <c:minorTickMark val="none"/>
        <c:tickLblPos val="nextTo"/>
        <c:spPr>
          <a:ln w="25400">
            <a:noFill/>
          </a:ln>
        </c:spPr>
        <c:txPr>
          <a:bodyPr rot="0" vert="horz"/>
          <a:lstStyle/>
          <a:p>
            <a:pPr>
              <a:defRPr sz="600"/>
            </a:pPr>
            <a:endParaRPr lang="da-DK"/>
          </a:p>
        </c:txPr>
        <c:crossAx val="199330432"/>
        <c:crosses val="autoZero"/>
        <c:crossBetween val="between"/>
      </c:valAx>
      <c:valAx>
        <c:axId val="199333760"/>
        <c:scaling>
          <c:orientation val="minMax"/>
        </c:scaling>
        <c:delete val="0"/>
        <c:axPos val="r"/>
        <c:numFmt formatCode="General" sourceLinked="1"/>
        <c:majorTickMark val="out"/>
        <c:minorTickMark val="none"/>
        <c:tickLblPos val="nextTo"/>
        <c:crossAx val="199335296"/>
        <c:crosses val="max"/>
        <c:crossBetween val="between"/>
      </c:valAx>
      <c:catAx>
        <c:axId val="199335296"/>
        <c:scaling>
          <c:orientation val="minMax"/>
        </c:scaling>
        <c:delete val="1"/>
        <c:axPos val="b"/>
        <c:numFmt formatCode="General" sourceLinked="1"/>
        <c:majorTickMark val="out"/>
        <c:minorTickMark val="none"/>
        <c:tickLblPos val="nextTo"/>
        <c:crossAx val="199333760"/>
        <c:crosses val="autoZero"/>
        <c:auto val="1"/>
        <c:lblAlgn val="ctr"/>
        <c:lblOffset val="100"/>
        <c:noMultiLvlLbl val="0"/>
      </c:catAx>
      <c:spPr>
        <a:noFill/>
        <a:ln w="12700">
          <a:solidFill>
            <a:srgbClr val="808080"/>
          </a:solidFill>
          <a:prstDash val="solid"/>
        </a:ln>
      </c:spPr>
    </c:plotArea>
    <c:legend>
      <c:legendPos val="b"/>
      <c:overlay val="0"/>
      <c:txPr>
        <a:bodyPr/>
        <a:lstStyle/>
        <a:p>
          <a:pPr>
            <a:defRPr sz="700"/>
          </a:pPr>
          <a:endParaRPr lang="da-DK"/>
        </a:p>
      </c:txPr>
    </c:legend>
    <c:plotVisOnly val="1"/>
    <c:dispBlanksAs val="gap"/>
    <c:showDLblsOverMax val="0"/>
  </c:chart>
  <c:spPr>
    <a:solidFill>
      <a:srgbClr val="FFFFFF"/>
    </a:solidFill>
    <a:ln w="9525">
      <a:noFill/>
    </a:ln>
  </c:spPr>
  <c:txPr>
    <a:bodyPr/>
    <a:lstStyle/>
    <a:p>
      <a:pPr>
        <a:defRPr sz="975" b="0" i="0" u="none" strike="noStrike" baseline="0">
          <a:solidFill>
            <a:srgbClr val="000000"/>
          </a:solidFill>
          <a:latin typeface="+mn-lt"/>
          <a:ea typeface="Trebuchet MS"/>
          <a:cs typeface="Arial" pitchFamily="34" charset="0"/>
        </a:defRPr>
      </a:pPr>
      <a:endParaRPr lang="da-DK"/>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303208502849689E-2"/>
          <c:y val="4.9464988243063973E-2"/>
          <c:w val="0.91614750112507515"/>
          <c:h val="0.80242357991585112"/>
        </c:manualLayout>
      </c:layout>
      <c:barChart>
        <c:barDir val="col"/>
        <c:grouping val="clustered"/>
        <c:varyColors val="0"/>
        <c:ser>
          <c:idx val="1"/>
          <c:order val="1"/>
          <c:invertIfNegative val="0"/>
          <c:dPt>
            <c:idx val="0"/>
            <c:invertIfNegative val="0"/>
            <c:bubble3D val="0"/>
            <c:spPr>
              <a:solidFill>
                <a:schemeClr val="tx1">
                  <a:lumMod val="75000"/>
                  <a:lumOff val="25000"/>
                </a:schemeClr>
              </a:solidFill>
            </c:spPr>
            <c:extLst>
              <c:ext xmlns:c16="http://schemas.microsoft.com/office/drawing/2014/chart" uri="{C3380CC4-5D6E-409C-BE32-E72D297353CC}">
                <c16:uniqueId val="{00000001-2AF6-493B-9397-0AB734E8A96C}"/>
              </c:ext>
            </c:extLst>
          </c:dPt>
          <c:dPt>
            <c:idx val="1"/>
            <c:invertIfNegative val="0"/>
            <c:bubble3D val="0"/>
            <c:spPr>
              <a:solidFill>
                <a:schemeClr val="tx1">
                  <a:lumMod val="75000"/>
                  <a:lumOff val="25000"/>
                </a:schemeClr>
              </a:solidFill>
            </c:spPr>
            <c:extLst>
              <c:ext xmlns:c16="http://schemas.microsoft.com/office/drawing/2014/chart" uri="{C3380CC4-5D6E-409C-BE32-E72D297353CC}">
                <c16:uniqueId val="{00000003-2AF6-493B-9397-0AB734E8A96C}"/>
              </c:ext>
            </c:extLst>
          </c:dPt>
          <c:dPt>
            <c:idx val="2"/>
            <c:invertIfNegative val="0"/>
            <c:bubble3D val="0"/>
            <c:spPr>
              <a:solidFill>
                <a:schemeClr val="tx1">
                  <a:lumMod val="75000"/>
                  <a:lumOff val="25000"/>
                </a:schemeClr>
              </a:solidFill>
            </c:spPr>
            <c:extLst>
              <c:ext xmlns:c16="http://schemas.microsoft.com/office/drawing/2014/chart" uri="{C3380CC4-5D6E-409C-BE32-E72D297353CC}">
                <c16:uniqueId val="{00000005-2AF6-493B-9397-0AB734E8A96C}"/>
              </c:ext>
            </c:extLst>
          </c:dPt>
          <c:dPt>
            <c:idx val="3"/>
            <c:invertIfNegative val="0"/>
            <c:bubble3D val="0"/>
            <c:spPr>
              <a:solidFill>
                <a:schemeClr val="tx1">
                  <a:lumMod val="75000"/>
                  <a:lumOff val="25000"/>
                </a:schemeClr>
              </a:solidFill>
            </c:spPr>
            <c:extLst>
              <c:ext xmlns:c16="http://schemas.microsoft.com/office/drawing/2014/chart" uri="{C3380CC4-5D6E-409C-BE32-E72D297353CC}">
                <c16:uniqueId val="{00000007-2AF6-493B-9397-0AB734E8A96C}"/>
              </c:ext>
            </c:extLst>
          </c:dPt>
          <c:dPt>
            <c:idx val="4"/>
            <c:invertIfNegative val="0"/>
            <c:bubble3D val="0"/>
            <c:spPr>
              <a:solidFill>
                <a:schemeClr val="tx1">
                  <a:lumMod val="75000"/>
                  <a:lumOff val="25000"/>
                </a:schemeClr>
              </a:solidFill>
            </c:spPr>
            <c:extLst>
              <c:ext xmlns:c16="http://schemas.microsoft.com/office/drawing/2014/chart" uri="{C3380CC4-5D6E-409C-BE32-E72D297353CC}">
                <c16:uniqueId val="{00000009-2AF6-493B-9397-0AB734E8A96C}"/>
              </c:ext>
            </c:extLst>
          </c:dPt>
          <c:dPt>
            <c:idx val="5"/>
            <c:invertIfNegative val="0"/>
            <c:bubble3D val="0"/>
            <c:spPr>
              <a:solidFill>
                <a:schemeClr val="tx1">
                  <a:lumMod val="75000"/>
                  <a:lumOff val="25000"/>
                </a:schemeClr>
              </a:solidFill>
            </c:spPr>
            <c:extLst>
              <c:ext xmlns:c16="http://schemas.microsoft.com/office/drawing/2014/chart" uri="{C3380CC4-5D6E-409C-BE32-E72D297353CC}">
                <c16:uniqueId val="{0000000B-2AF6-493B-9397-0AB734E8A96C}"/>
              </c:ext>
            </c:extLst>
          </c:dPt>
          <c:dPt>
            <c:idx val="6"/>
            <c:invertIfNegative val="0"/>
            <c:bubble3D val="0"/>
            <c:spPr>
              <a:solidFill>
                <a:schemeClr val="tx1">
                  <a:lumMod val="75000"/>
                  <a:lumOff val="25000"/>
                </a:schemeClr>
              </a:solidFill>
            </c:spPr>
            <c:extLst>
              <c:ext xmlns:c16="http://schemas.microsoft.com/office/drawing/2014/chart" uri="{C3380CC4-5D6E-409C-BE32-E72D297353CC}">
                <c16:uniqueId val="{0000000D-2AF6-493B-9397-0AB734E8A96C}"/>
              </c:ext>
            </c:extLst>
          </c:dPt>
          <c:dPt>
            <c:idx val="7"/>
            <c:invertIfNegative val="0"/>
            <c:bubble3D val="0"/>
            <c:spPr>
              <a:solidFill>
                <a:schemeClr val="tx1">
                  <a:lumMod val="75000"/>
                  <a:lumOff val="25000"/>
                </a:schemeClr>
              </a:solidFill>
            </c:spPr>
            <c:extLst>
              <c:ext xmlns:c16="http://schemas.microsoft.com/office/drawing/2014/chart" uri="{C3380CC4-5D6E-409C-BE32-E72D297353CC}">
                <c16:uniqueId val="{0000000F-2AF6-493B-9397-0AB734E8A96C}"/>
              </c:ext>
            </c:extLst>
          </c:dPt>
          <c:dPt>
            <c:idx val="8"/>
            <c:invertIfNegative val="0"/>
            <c:bubble3D val="0"/>
            <c:spPr>
              <a:solidFill>
                <a:schemeClr val="tx1">
                  <a:lumMod val="75000"/>
                  <a:lumOff val="25000"/>
                </a:schemeClr>
              </a:solidFill>
            </c:spPr>
            <c:extLst>
              <c:ext xmlns:c16="http://schemas.microsoft.com/office/drawing/2014/chart" uri="{C3380CC4-5D6E-409C-BE32-E72D297353CC}">
                <c16:uniqueId val="{00000011-2AF6-493B-9397-0AB734E8A96C}"/>
              </c:ext>
            </c:extLst>
          </c:dPt>
          <c:dPt>
            <c:idx val="9"/>
            <c:invertIfNegative val="0"/>
            <c:bubble3D val="0"/>
            <c:spPr>
              <a:solidFill>
                <a:schemeClr val="tx1">
                  <a:lumMod val="75000"/>
                  <a:lumOff val="25000"/>
                </a:schemeClr>
              </a:solidFill>
            </c:spPr>
            <c:extLst>
              <c:ext xmlns:c16="http://schemas.microsoft.com/office/drawing/2014/chart" uri="{C3380CC4-5D6E-409C-BE32-E72D297353CC}">
                <c16:uniqueId val="{00000013-2AF6-493B-9397-0AB734E8A96C}"/>
              </c:ext>
            </c:extLst>
          </c:dPt>
          <c:dPt>
            <c:idx val="10"/>
            <c:invertIfNegative val="0"/>
            <c:bubble3D val="0"/>
            <c:spPr>
              <a:solidFill>
                <a:schemeClr val="tx1">
                  <a:lumMod val="75000"/>
                  <a:lumOff val="25000"/>
                </a:schemeClr>
              </a:solidFill>
            </c:spPr>
            <c:extLst>
              <c:ext xmlns:c16="http://schemas.microsoft.com/office/drawing/2014/chart" uri="{C3380CC4-5D6E-409C-BE32-E72D297353CC}">
                <c16:uniqueId val="{00000015-2AF6-493B-9397-0AB734E8A96C}"/>
              </c:ext>
            </c:extLst>
          </c:dPt>
          <c:dPt>
            <c:idx val="11"/>
            <c:invertIfNegative val="0"/>
            <c:bubble3D val="0"/>
            <c:spPr>
              <a:solidFill>
                <a:schemeClr val="tx1">
                  <a:lumMod val="75000"/>
                  <a:lumOff val="25000"/>
                </a:schemeClr>
              </a:solidFill>
            </c:spPr>
            <c:extLst>
              <c:ext xmlns:c16="http://schemas.microsoft.com/office/drawing/2014/chart" uri="{C3380CC4-5D6E-409C-BE32-E72D297353CC}">
                <c16:uniqueId val="{00000017-2AF6-493B-9397-0AB734E8A96C}"/>
              </c:ext>
            </c:extLst>
          </c:dPt>
          <c:dPt>
            <c:idx val="12"/>
            <c:invertIfNegative val="0"/>
            <c:bubble3D val="0"/>
            <c:spPr>
              <a:solidFill>
                <a:schemeClr val="tx1">
                  <a:lumMod val="75000"/>
                  <a:lumOff val="25000"/>
                </a:schemeClr>
              </a:solidFill>
            </c:spPr>
            <c:extLst>
              <c:ext xmlns:c16="http://schemas.microsoft.com/office/drawing/2014/chart" uri="{C3380CC4-5D6E-409C-BE32-E72D297353CC}">
                <c16:uniqueId val="{00000019-2AF6-493B-9397-0AB734E8A96C}"/>
              </c:ext>
            </c:extLst>
          </c:dPt>
          <c:dPt>
            <c:idx val="13"/>
            <c:invertIfNegative val="0"/>
            <c:bubble3D val="0"/>
            <c:spPr>
              <a:solidFill>
                <a:schemeClr val="tx1">
                  <a:lumMod val="75000"/>
                  <a:lumOff val="25000"/>
                </a:schemeClr>
              </a:solidFill>
            </c:spPr>
            <c:extLst>
              <c:ext xmlns:c16="http://schemas.microsoft.com/office/drawing/2014/chart" uri="{C3380CC4-5D6E-409C-BE32-E72D297353CC}">
                <c16:uniqueId val="{0000001B-2AF6-493B-9397-0AB734E8A96C}"/>
              </c:ext>
            </c:extLst>
          </c:dPt>
          <c:dLbls>
            <c:spPr>
              <a:noFill/>
              <a:ln>
                <a:noFill/>
              </a:ln>
              <a:effectLst/>
            </c:spPr>
            <c:txPr>
              <a:bodyPr rot="5400000" vert="horz"/>
              <a:lstStyle/>
              <a:p>
                <a:pPr>
                  <a:defRPr sz="700">
                    <a:solidFill>
                      <a:schemeClr val="bg1"/>
                    </a:solidFill>
                  </a:defRPr>
                </a:pPr>
                <a:endParaRPr lang="da-D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 5'!$F$13:$AE$13</c:f>
              <c:strCache>
                <c:ptCount val="2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pt idx="25">
                  <c:v>2030</c:v>
                </c:pt>
              </c:strCache>
            </c:strRef>
          </c:cat>
          <c:val>
            <c:numRef>
              <c:f>'Figur 5'!$F$15:$AE$15</c:f>
              <c:numCache>
                <c:formatCode>General</c:formatCode>
                <c:ptCount val="26"/>
                <c:pt idx="0">
                  <c:v>34513</c:v>
                </c:pt>
                <c:pt idx="1">
                  <c:v>34247</c:v>
                </c:pt>
                <c:pt idx="2" formatCode="#,##0">
                  <c:v>33807</c:v>
                </c:pt>
                <c:pt idx="3" formatCode="#,##0">
                  <c:v>33728</c:v>
                </c:pt>
                <c:pt idx="4" formatCode="#,##0">
                  <c:v>33749</c:v>
                </c:pt>
                <c:pt idx="5" formatCode="#,##0">
                  <c:v>33995</c:v>
                </c:pt>
                <c:pt idx="6" formatCode="#,##0">
                  <c:v>34078</c:v>
                </c:pt>
                <c:pt idx="7" formatCode="#,##0">
                  <c:v>34215</c:v>
                </c:pt>
                <c:pt idx="8" formatCode="#,##0">
                  <c:v>34581</c:v>
                </c:pt>
                <c:pt idx="9" formatCode="#,##0">
                  <c:v>35048</c:v>
                </c:pt>
                <c:pt idx="10" formatCode="#,##0">
                  <c:v>35327</c:v>
                </c:pt>
                <c:pt idx="11" formatCode="#,##0">
                  <c:v>35601</c:v>
                </c:pt>
                <c:pt idx="12" formatCode="#,##0">
                  <c:v>35541</c:v>
                </c:pt>
                <c:pt idx="13" formatCode="#,##0">
                  <c:v>35393</c:v>
                </c:pt>
                <c:pt idx="14" formatCode="#,##0">
                  <c:v>35094</c:v>
                </c:pt>
                <c:pt idx="15" formatCode="0">
                  <c:v>35299</c:v>
                </c:pt>
                <c:pt idx="16" formatCode="0">
                  <c:v>35845</c:v>
                </c:pt>
                <c:pt idx="17" formatCode="0">
                  <c:v>36683</c:v>
                </c:pt>
                <c:pt idx="18" formatCode="0">
                  <c:v>37950</c:v>
                </c:pt>
                <c:pt idx="19" formatCode="0">
                  <c:v>38767</c:v>
                </c:pt>
                <c:pt idx="20" formatCode="0">
                  <c:v>39055</c:v>
                </c:pt>
                <c:pt idx="21" formatCode="0">
                  <c:v>39062</c:v>
                </c:pt>
                <c:pt idx="22" formatCode="0">
                  <c:v>39129</c:v>
                </c:pt>
                <c:pt idx="23" formatCode="0">
                  <c:v>39189</c:v>
                </c:pt>
                <c:pt idx="24" formatCode="0">
                  <c:v>39175</c:v>
                </c:pt>
                <c:pt idx="25" formatCode="0">
                  <c:v>39154</c:v>
                </c:pt>
              </c:numCache>
            </c:numRef>
          </c:val>
          <c:extLst>
            <c:ext xmlns:c16="http://schemas.microsoft.com/office/drawing/2014/chart" uri="{C3380CC4-5D6E-409C-BE32-E72D297353CC}">
              <c16:uniqueId val="{0000001C-2AF6-493B-9397-0AB734E8A96C}"/>
            </c:ext>
          </c:extLst>
        </c:ser>
        <c:dLbls>
          <c:showLegendKey val="0"/>
          <c:showVal val="0"/>
          <c:showCatName val="0"/>
          <c:showSerName val="0"/>
          <c:showPercent val="0"/>
          <c:showBubbleSize val="0"/>
        </c:dLbls>
        <c:gapWidth val="150"/>
        <c:axId val="199760128"/>
        <c:axId val="199761920"/>
      </c:barChart>
      <c:lineChart>
        <c:grouping val="standard"/>
        <c:varyColors val="0"/>
        <c:ser>
          <c:idx val="0"/>
          <c:order val="0"/>
          <c:marker>
            <c:symbol val="diamond"/>
            <c:size val="8"/>
          </c:marker>
          <c:dPt>
            <c:idx val="0"/>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1E-2AF6-493B-9397-0AB734E8A96C}"/>
              </c:ext>
            </c:extLst>
          </c:dPt>
          <c:dPt>
            <c:idx val="1"/>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20-2AF6-493B-9397-0AB734E8A96C}"/>
              </c:ext>
            </c:extLst>
          </c:dPt>
          <c:dPt>
            <c:idx val="2"/>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22-2AF6-493B-9397-0AB734E8A96C}"/>
              </c:ext>
            </c:extLst>
          </c:dPt>
          <c:dPt>
            <c:idx val="3"/>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24-2AF6-493B-9397-0AB734E8A96C}"/>
              </c:ext>
            </c:extLst>
          </c:dPt>
          <c:dPt>
            <c:idx val="4"/>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26-2AF6-493B-9397-0AB734E8A96C}"/>
              </c:ext>
            </c:extLst>
          </c:dPt>
          <c:dPt>
            <c:idx val="5"/>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28-2AF6-493B-9397-0AB734E8A96C}"/>
              </c:ext>
            </c:extLst>
          </c:dPt>
          <c:dPt>
            <c:idx val="6"/>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2A-2AF6-493B-9397-0AB734E8A96C}"/>
              </c:ext>
            </c:extLst>
          </c:dPt>
          <c:dPt>
            <c:idx val="7"/>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2C-2AF6-493B-9397-0AB734E8A96C}"/>
              </c:ext>
            </c:extLst>
          </c:dPt>
          <c:dPt>
            <c:idx val="8"/>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2E-2AF6-493B-9397-0AB734E8A96C}"/>
              </c:ext>
            </c:extLst>
          </c:dPt>
          <c:dPt>
            <c:idx val="9"/>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30-2AF6-493B-9397-0AB734E8A96C}"/>
              </c:ext>
            </c:extLst>
          </c:dPt>
          <c:dPt>
            <c:idx val="10"/>
            <c:marker>
              <c:spPr>
                <a:solidFill>
                  <a:schemeClr val="tx1"/>
                </a:solidFill>
                <a:ln>
                  <a:solidFill>
                    <a:schemeClr val="tx1"/>
                  </a:solidFill>
                </a:ln>
              </c:spPr>
            </c:marker>
            <c:bubble3D val="0"/>
            <c:spPr>
              <a:ln>
                <a:solidFill>
                  <a:schemeClr val="tx1"/>
                </a:solidFill>
              </a:ln>
            </c:spPr>
            <c:extLst>
              <c:ext xmlns:c16="http://schemas.microsoft.com/office/drawing/2014/chart" uri="{C3380CC4-5D6E-409C-BE32-E72D297353CC}">
                <c16:uniqueId val="{00000032-2AF6-493B-9397-0AB734E8A96C}"/>
              </c:ext>
            </c:extLst>
          </c:dPt>
          <c:dPt>
            <c:idx val="11"/>
            <c:marker>
              <c:spPr>
                <a:solidFill>
                  <a:schemeClr val="tx1">
                    <a:lumMod val="75000"/>
                    <a:lumOff val="25000"/>
                  </a:schemeClr>
                </a:solidFill>
              </c:spPr>
            </c:marker>
            <c:bubble3D val="0"/>
            <c:spPr>
              <a:ln>
                <a:solidFill>
                  <a:schemeClr val="tx1"/>
                </a:solidFill>
              </a:ln>
            </c:spPr>
            <c:extLst>
              <c:ext xmlns:c16="http://schemas.microsoft.com/office/drawing/2014/chart" uri="{C3380CC4-5D6E-409C-BE32-E72D297353CC}">
                <c16:uniqueId val="{00000034-2AF6-493B-9397-0AB734E8A96C}"/>
              </c:ext>
            </c:extLst>
          </c:dPt>
          <c:dPt>
            <c:idx val="12"/>
            <c:marker>
              <c:spPr>
                <a:solidFill>
                  <a:schemeClr val="tx1">
                    <a:lumMod val="75000"/>
                    <a:lumOff val="25000"/>
                  </a:schemeClr>
                </a:solidFill>
              </c:spPr>
            </c:marker>
            <c:bubble3D val="0"/>
            <c:spPr>
              <a:ln>
                <a:solidFill>
                  <a:schemeClr val="tx1"/>
                </a:solidFill>
              </a:ln>
            </c:spPr>
            <c:extLst>
              <c:ext xmlns:c16="http://schemas.microsoft.com/office/drawing/2014/chart" uri="{C3380CC4-5D6E-409C-BE32-E72D297353CC}">
                <c16:uniqueId val="{00000036-2AF6-493B-9397-0AB734E8A96C}"/>
              </c:ext>
            </c:extLst>
          </c:dPt>
          <c:dPt>
            <c:idx val="13"/>
            <c:bubble3D val="0"/>
            <c:spPr>
              <a:ln>
                <a:solidFill>
                  <a:schemeClr val="tx1"/>
                </a:solidFill>
              </a:ln>
            </c:spPr>
            <c:extLst>
              <c:ext xmlns:c16="http://schemas.microsoft.com/office/drawing/2014/chart" uri="{C3380CC4-5D6E-409C-BE32-E72D297353CC}">
                <c16:uniqueId val="{00000038-2AF6-493B-9397-0AB734E8A96C}"/>
              </c:ext>
            </c:extLst>
          </c:dPt>
          <c:dLbls>
            <c:numFmt formatCode="#,##0" sourceLinked="0"/>
            <c:spPr>
              <a:noFill/>
              <a:ln>
                <a:noFill/>
              </a:ln>
              <a:effectLst/>
            </c:spPr>
            <c:txPr>
              <a:bodyPr/>
              <a:lstStyle/>
              <a:p>
                <a:pPr>
                  <a:defRPr sz="700"/>
                </a:pPr>
                <a:endParaRPr lang="da-D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'Figur 5'!$F$13:$AE$13</c:f>
              <c:strCache>
                <c:ptCount val="2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pt idx="25">
                  <c:v>2030</c:v>
                </c:pt>
              </c:strCache>
            </c:strRef>
          </c:cat>
          <c:val>
            <c:numRef>
              <c:f>'Figur 5'!$F$14:$AE$14</c:f>
              <c:numCache>
                <c:formatCode>General</c:formatCode>
                <c:ptCount val="26"/>
                <c:pt idx="0">
                  <c:v>34513</c:v>
                </c:pt>
                <c:pt idx="1">
                  <c:v>34247</c:v>
                </c:pt>
                <c:pt idx="2" formatCode="#,##0;\-#,##0;#,##0;@">
                  <c:v>33831</c:v>
                </c:pt>
                <c:pt idx="3" formatCode="#,##0;\-#,##0;#,##0;@">
                  <c:v>33762</c:v>
                </c:pt>
                <c:pt idx="4" formatCode="#,##0;\-#,##0;#,##0;@">
                  <c:v>33795</c:v>
                </c:pt>
                <c:pt idx="5" formatCode="#,##0;\-#,##0;#,##0;@">
                  <c:v>34021</c:v>
                </c:pt>
                <c:pt idx="6" formatCode="#,##0;\-#,##0;#,##0;@">
                  <c:v>34084</c:v>
                </c:pt>
                <c:pt idx="7" formatCode="#,##0;\-#,##0;#,##0;@">
                  <c:v>34210</c:v>
                </c:pt>
                <c:pt idx="8" formatCode="#,##0;\-#,##0;#,##0;@">
                  <c:v>34580</c:v>
                </c:pt>
                <c:pt idx="9" formatCode="#,##0;\-#,##0;#,##0;@">
                  <c:v>35050</c:v>
                </c:pt>
                <c:pt idx="10" formatCode="#,##0;\-#,##0;#,##0;@">
                  <c:v>35322</c:v>
                </c:pt>
                <c:pt idx="11" formatCode="#,##0;\-#,##0;#,##0;@">
                  <c:v>35594</c:v>
                </c:pt>
                <c:pt idx="12" formatCode="#,##0;\-#,##0;#,##0;@">
                  <c:v>35538</c:v>
                </c:pt>
                <c:pt idx="13" formatCode="#,##0;\-#,##0;#,##0;@">
                  <c:v>35397</c:v>
                </c:pt>
                <c:pt idx="14" formatCode="#,##0;\-#,##0;#,##0;@">
                  <c:v>35090</c:v>
                </c:pt>
                <c:pt idx="15">
                  <c:v>35506</c:v>
                </c:pt>
                <c:pt idx="16">
                  <c:v>35613</c:v>
                </c:pt>
                <c:pt idx="17">
                  <c:v>35727</c:v>
                </c:pt>
                <c:pt idx="18">
                  <c:v>35844</c:v>
                </c:pt>
                <c:pt idx="19">
                  <c:v>35967</c:v>
                </c:pt>
                <c:pt idx="20">
                  <c:v>36100</c:v>
                </c:pt>
                <c:pt idx="21">
                  <c:v>36238</c:v>
                </c:pt>
                <c:pt idx="22">
                  <c:v>36378</c:v>
                </c:pt>
                <c:pt idx="23">
                  <c:v>36514</c:v>
                </c:pt>
                <c:pt idx="24">
                  <c:v>36648</c:v>
                </c:pt>
                <c:pt idx="25">
                  <c:v>36778</c:v>
                </c:pt>
              </c:numCache>
            </c:numRef>
          </c:val>
          <c:smooth val="0"/>
          <c:extLst>
            <c:ext xmlns:c16="http://schemas.microsoft.com/office/drawing/2014/chart" uri="{C3380CC4-5D6E-409C-BE32-E72D297353CC}">
              <c16:uniqueId val="{00000039-2AF6-493B-9397-0AB734E8A96C}"/>
            </c:ext>
          </c:extLst>
        </c:ser>
        <c:dLbls>
          <c:showLegendKey val="0"/>
          <c:showVal val="0"/>
          <c:showCatName val="0"/>
          <c:showSerName val="0"/>
          <c:showPercent val="0"/>
          <c:showBubbleSize val="0"/>
        </c:dLbls>
        <c:marker val="1"/>
        <c:smooth val="0"/>
        <c:axId val="199760128"/>
        <c:axId val="199761920"/>
      </c:lineChart>
      <c:catAx>
        <c:axId val="199760128"/>
        <c:scaling>
          <c:orientation val="minMax"/>
        </c:scaling>
        <c:delete val="0"/>
        <c:axPos val="b"/>
        <c:numFmt formatCode="General" sourceLinked="0"/>
        <c:majorTickMark val="out"/>
        <c:minorTickMark val="none"/>
        <c:tickLblPos val="nextTo"/>
        <c:txPr>
          <a:bodyPr rot="5400000" vert="horz"/>
          <a:lstStyle/>
          <a:p>
            <a:pPr>
              <a:defRPr/>
            </a:pPr>
            <a:endParaRPr lang="da-DK"/>
          </a:p>
        </c:txPr>
        <c:crossAx val="199761920"/>
        <c:crosses val="autoZero"/>
        <c:auto val="1"/>
        <c:lblAlgn val="ctr"/>
        <c:lblOffset val="100"/>
        <c:noMultiLvlLbl val="0"/>
      </c:catAx>
      <c:valAx>
        <c:axId val="199761920"/>
        <c:scaling>
          <c:orientation val="minMax"/>
        </c:scaling>
        <c:delete val="0"/>
        <c:axPos val="l"/>
        <c:majorGridlines/>
        <c:numFmt formatCode="#,##0" sourceLinked="0"/>
        <c:majorTickMark val="out"/>
        <c:minorTickMark val="none"/>
        <c:tickLblPos val="nextTo"/>
        <c:crossAx val="19976012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'Figur 6'!$B$3</c:f>
              <c:strCache>
                <c:ptCount val="1"/>
                <c:pt idx="0">
                  <c:v>2020</c:v>
                </c:pt>
              </c:strCache>
            </c:strRef>
          </c:tx>
          <c:spPr>
            <a:solidFill>
              <a:schemeClr val="bg1">
                <a:lumMod val="75000"/>
              </a:schemeClr>
            </a:solidFill>
          </c:spPr>
          <c:cat>
            <c:strRef>
              <c:f>'Figur 6'!$A$4:$A$103</c:f>
              <c:strCache>
                <c:ptCount val="100"/>
                <c:pt idx="0">
                  <c:v>0 år</c:v>
                </c:pt>
                <c:pt idx="1">
                  <c:v>1 år</c:v>
                </c:pt>
                <c:pt idx="2">
                  <c:v>2 år</c:v>
                </c:pt>
                <c:pt idx="3">
                  <c:v>3 år</c:v>
                </c:pt>
                <c:pt idx="4">
                  <c:v>4 år</c:v>
                </c:pt>
                <c:pt idx="5">
                  <c:v>5 år</c:v>
                </c:pt>
                <c:pt idx="6">
                  <c:v>6 år</c:v>
                </c:pt>
                <c:pt idx="7">
                  <c:v>7 år</c:v>
                </c:pt>
                <c:pt idx="8">
                  <c:v>8 år</c:v>
                </c:pt>
                <c:pt idx="9">
                  <c:v>9 år</c:v>
                </c:pt>
                <c:pt idx="10">
                  <c:v>10 år</c:v>
                </c:pt>
                <c:pt idx="11">
                  <c:v>11 år</c:v>
                </c:pt>
                <c:pt idx="12">
                  <c:v>12 år</c:v>
                </c:pt>
                <c:pt idx="13">
                  <c:v>13 år</c:v>
                </c:pt>
                <c:pt idx="14">
                  <c:v>14 år</c:v>
                </c:pt>
                <c:pt idx="15">
                  <c:v>15 år</c:v>
                </c:pt>
                <c:pt idx="16">
                  <c:v>16 år</c:v>
                </c:pt>
                <c:pt idx="17">
                  <c:v>17 år</c:v>
                </c:pt>
                <c:pt idx="18">
                  <c:v>18 år</c:v>
                </c:pt>
                <c:pt idx="19">
                  <c:v>19 år</c:v>
                </c:pt>
                <c:pt idx="20">
                  <c:v>20 år</c:v>
                </c:pt>
                <c:pt idx="21">
                  <c:v>21 år</c:v>
                </c:pt>
                <c:pt idx="22">
                  <c:v>22 år</c:v>
                </c:pt>
                <c:pt idx="23">
                  <c:v>23 år</c:v>
                </c:pt>
                <c:pt idx="24">
                  <c:v>24 år</c:v>
                </c:pt>
                <c:pt idx="25">
                  <c:v>25 år</c:v>
                </c:pt>
                <c:pt idx="26">
                  <c:v>26 år</c:v>
                </c:pt>
                <c:pt idx="27">
                  <c:v>27 år</c:v>
                </c:pt>
                <c:pt idx="28">
                  <c:v>28 år</c:v>
                </c:pt>
                <c:pt idx="29">
                  <c:v>29 år</c:v>
                </c:pt>
                <c:pt idx="30">
                  <c:v>30 år</c:v>
                </c:pt>
                <c:pt idx="31">
                  <c:v>31 år</c:v>
                </c:pt>
                <c:pt idx="32">
                  <c:v>32 år</c:v>
                </c:pt>
                <c:pt idx="33">
                  <c:v>33 år</c:v>
                </c:pt>
                <c:pt idx="34">
                  <c:v>34 år</c:v>
                </c:pt>
                <c:pt idx="35">
                  <c:v>35 år</c:v>
                </c:pt>
                <c:pt idx="36">
                  <c:v>36 år</c:v>
                </c:pt>
                <c:pt idx="37">
                  <c:v>37 år</c:v>
                </c:pt>
                <c:pt idx="38">
                  <c:v>38 år</c:v>
                </c:pt>
                <c:pt idx="39">
                  <c:v>39 år</c:v>
                </c:pt>
                <c:pt idx="40">
                  <c:v>40 år</c:v>
                </c:pt>
                <c:pt idx="41">
                  <c:v>41 år</c:v>
                </c:pt>
                <c:pt idx="42">
                  <c:v>42 år</c:v>
                </c:pt>
                <c:pt idx="43">
                  <c:v>43 år</c:v>
                </c:pt>
                <c:pt idx="44">
                  <c:v>44 år</c:v>
                </c:pt>
                <c:pt idx="45">
                  <c:v>45 år</c:v>
                </c:pt>
                <c:pt idx="46">
                  <c:v>46 år</c:v>
                </c:pt>
                <c:pt idx="47">
                  <c:v>47 år</c:v>
                </c:pt>
                <c:pt idx="48">
                  <c:v>48 år</c:v>
                </c:pt>
                <c:pt idx="49">
                  <c:v>49 år</c:v>
                </c:pt>
                <c:pt idx="50">
                  <c:v>50 år</c:v>
                </c:pt>
                <c:pt idx="51">
                  <c:v>51 år</c:v>
                </c:pt>
                <c:pt idx="52">
                  <c:v>52 år</c:v>
                </c:pt>
                <c:pt idx="53">
                  <c:v>53 år</c:v>
                </c:pt>
                <c:pt idx="54">
                  <c:v>54 år</c:v>
                </c:pt>
                <c:pt idx="55">
                  <c:v>55 år</c:v>
                </c:pt>
                <c:pt idx="56">
                  <c:v>56 år</c:v>
                </c:pt>
                <c:pt idx="57">
                  <c:v>57 år</c:v>
                </c:pt>
                <c:pt idx="58">
                  <c:v>58 år</c:v>
                </c:pt>
                <c:pt idx="59">
                  <c:v>59 år</c:v>
                </c:pt>
                <c:pt idx="60">
                  <c:v>60 år</c:v>
                </c:pt>
                <c:pt idx="61">
                  <c:v>61 år</c:v>
                </c:pt>
                <c:pt idx="62">
                  <c:v>62 år</c:v>
                </c:pt>
                <c:pt idx="63">
                  <c:v>63 år</c:v>
                </c:pt>
                <c:pt idx="64">
                  <c:v>64 år</c:v>
                </c:pt>
                <c:pt idx="65">
                  <c:v>65 år</c:v>
                </c:pt>
                <c:pt idx="66">
                  <c:v>66 år</c:v>
                </c:pt>
                <c:pt idx="67">
                  <c:v>67 år</c:v>
                </c:pt>
                <c:pt idx="68">
                  <c:v>68 år</c:v>
                </c:pt>
                <c:pt idx="69">
                  <c:v>69 år</c:v>
                </c:pt>
                <c:pt idx="70">
                  <c:v>70 år</c:v>
                </c:pt>
                <c:pt idx="71">
                  <c:v>71 år</c:v>
                </c:pt>
                <c:pt idx="72">
                  <c:v>72 år</c:v>
                </c:pt>
                <c:pt idx="73">
                  <c:v>73 år</c:v>
                </c:pt>
                <c:pt idx="74">
                  <c:v>74 år</c:v>
                </c:pt>
                <c:pt idx="75">
                  <c:v>75 år</c:v>
                </c:pt>
                <c:pt idx="76">
                  <c:v>76 år</c:v>
                </c:pt>
                <c:pt idx="77">
                  <c:v>77 år</c:v>
                </c:pt>
                <c:pt idx="78">
                  <c:v>78 år</c:v>
                </c:pt>
                <c:pt idx="79">
                  <c:v>79 år</c:v>
                </c:pt>
                <c:pt idx="80">
                  <c:v>80 år</c:v>
                </c:pt>
                <c:pt idx="81">
                  <c:v>81 år</c:v>
                </c:pt>
                <c:pt idx="82">
                  <c:v>82 år</c:v>
                </c:pt>
                <c:pt idx="83">
                  <c:v>83 år</c:v>
                </c:pt>
                <c:pt idx="84">
                  <c:v>84 år</c:v>
                </c:pt>
                <c:pt idx="85">
                  <c:v>85 år</c:v>
                </c:pt>
                <c:pt idx="86">
                  <c:v>86 år</c:v>
                </c:pt>
                <c:pt idx="87">
                  <c:v>87 år</c:v>
                </c:pt>
                <c:pt idx="88">
                  <c:v>88 år</c:v>
                </c:pt>
                <c:pt idx="89">
                  <c:v>89 år</c:v>
                </c:pt>
                <c:pt idx="90">
                  <c:v>90 år</c:v>
                </c:pt>
                <c:pt idx="91">
                  <c:v>91 år</c:v>
                </c:pt>
                <c:pt idx="92">
                  <c:v>92 år</c:v>
                </c:pt>
                <c:pt idx="93">
                  <c:v>93 år</c:v>
                </c:pt>
                <c:pt idx="94">
                  <c:v>94 år</c:v>
                </c:pt>
                <c:pt idx="95">
                  <c:v>95 år</c:v>
                </c:pt>
                <c:pt idx="96">
                  <c:v>96 år</c:v>
                </c:pt>
                <c:pt idx="97">
                  <c:v>97 år</c:v>
                </c:pt>
                <c:pt idx="98">
                  <c:v>98 år</c:v>
                </c:pt>
                <c:pt idx="99">
                  <c:v>99+ år</c:v>
                </c:pt>
              </c:strCache>
            </c:strRef>
          </c:cat>
          <c:val>
            <c:numRef>
              <c:f>'Figur 6'!$B$4:$B$103</c:f>
              <c:numCache>
                <c:formatCode>#,##0</c:formatCode>
                <c:ptCount val="100"/>
                <c:pt idx="0">
                  <c:v>413</c:v>
                </c:pt>
                <c:pt idx="1">
                  <c:v>402</c:v>
                </c:pt>
                <c:pt idx="2">
                  <c:v>395</c:v>
                </c:pt>
                <c:pt idx="3">
                  <c:v>429</c:v>
                </c:pt>
                <c:pt idx="4">
                  <c:v>420</c:v>
                </c:pt>
                <c:pt idx="5">
                  <c:v>405</c:v>
                </c:pt>
                <c:pt idx="6">
                  <c:v>424</c:v>
                </c:pt>
                <c:pt idx="7">
                  <c:v>404</c:v>
                </c:pt>
                <c:pt idx="8">
                  <c:v>403</c:v>
                </c:pt>
                <c:pt idx="9">
                  <c:v>398</c:v>
                </c:pt>
                <c:pt idx="10">
                  <c:v>399</c:v>
                </c:pt>
                <c:pt idx="11">
                  <c:v>420</c:v>
                </c:pt>
                <c:pt idx="12">
                  <c:v>413</c:v>
                </c:pt>
                <c:pt idx="13">
                  <c:v>416</c:v>
                </c:pt>
                <c:pt idx="14">
                  <c:v>378</c:v>
                </c:pt>
                <c:pt idx="15">
                  <c:v>390</c:v>
                </c:pt>
                <c:pt idx="16">
                  <c:v>418</c:v>
                </c:pt>
                <c:pt idx="17">
                  <c:v>394</c:v>
                </c:pt>
                <c:pt idx="18">
                  <c:v>396</c:v>
                </c:pt>
                <c:pt idx="19">
                  <c:v>397</c:v>
                </c:pt>
                <c:pt idx="20">
                  <c:v>411</c:v>
                </c:pt>
                <c:pt idx="21">
                  <c:v>358</c:v>
                </c:pt>
                <c:pt idx="22">
                  <c:v>370</c:v>
                </c:pt>
                <c:pt idx="23">
                  <c:v>400</c:v>
                </c:pt>
                <c:pt idx="24">
                  <c:v>392</c:v>
                </c:pt>
                <c:pt idx="25">
                  <c:v>432</c:v>
                </c:pt>
                <c:pt idx="26">
                  <c:v>411</c:v>
                </c:pt>
                <c:pt idx="27">
                  <c:v>463</c:v>
                </c:pt>
                <c:pt idx="28">
                  <c:v>472</c:v>
                </c:pt>
                <c:pt idx="29">
                  <c:v>414</c:v>
                </c:pt>
                <c:pt idx="30">
                  <c:v>487</c:v>
                </c:pt>
                <c:pt idx="31">
                  <c:v>455</c:v>
                </c:pt>
                <c:pt idx="32">
                  <c:v>483</c:v>
                </c:pt>
                <c:pt idx="33">
                  <c:v>454</c:v>
                </c:pt>
                <c:pt idx="34">
                  <c:v>440</c:v>
                </c:pt>
                <c:pt idx="35">
                  <c:v>418</c:v>
                </c:pt>
                <c:pt idx="36">
                  <c:v>414</c:v>
                </c:pt>
                <c:pt idx="37">
                  <c:v>449</c:v>
                </c:pt>
                <c:pt idx="38">
                  <c:v>436</c:v>
                </c:pt>
                <c:pt idx="39">
                  <c:v>466</c:v>
                </c:pt>
                <c:pt idx="40">
                  <c:v>415</c:v>
                </c:pt>
                <c:pt idx="41">
                  <c:v>484</c:v>
                </c:pt>
                <c:pt idx="42">
                  <c:v>437</c:v>
                </c:pt>
                <c:pt idx="43">
                  <c:v>451</c:v>
                </c:pt>
                <c:pt idx="44">
                  <c:v>487</c:v>
                </c:pt>
                <c:pt idx="45">
                  <c:v>442</c:v>
                </c:pt>
                <c:pt idx="46">
                  <c:v>459</c:v>
                </c:pt>
                <c:pt idx="47">
                  <c:v>469</c:v>
                </c:pt>
                <c:pt idx="48">
                  <c:v>437</c:v>
                </c:pt>
                <c:pt idx="49">
                  <c:v>433</c:v>
                </c:pt>
                <c:pt idx="50">
                  <c:v>466</c:v>
                </c:pt>
                <c:pt idx="51">
                  <c:v>459</c:v>
                </c:pt>
                <c:pt idx="52">
                  <c:v>494</c:v>
                </c:pt>
                <c:pt idx="53">
                  <c:v>516</c:v>
                </c:pt>
                <c:pt idx="54">
                  <c:v>524</c:v>
                </c:pt>
                <c:pt idx="55">
                  <c:v>476</c:v>
                </c:pt>
                <c:pt idx="56">
                  <c:v>503</c:v>
                </c:pt>
                <c:pt idx="57">
                  <c:v>479</c:v>
                </c:pt>
                <c:pt idx="58">
                  <c:v>493</c:v>
                </c:pt>
                <c:pt idx="59">
                  <c:v>474</c:v>
                </c:pt>
                <c:pt idx="60">
                  <c:v>425</c:v>
                </c:pt>
                <c:pt idx="61">
                  <c:v>421</c:v>
                </c:pt>
                <c:pt idx="62">
                  <c:v>445</c:v>
                </c:pt>
                <c:pt idx="63">
                  <c:v>472</c:v>
                </c:pt>
                <c:pt idx="64">
                  <c:v>395</c:v>
                </c:pt>
                <c:pt idx="65">
                  <c:v>384</c:v>
                </c:pt>
                <c:pt idx="66">
                  <c:v>370</c:v>
                </c:pt>
                <c:pt idx="67">
                  <c:v>357</c:v>
                </c:pt>
                <c:pt idx="68">
                  <c:v>350</c:v>
                </c:pt>
                <c:pt idx="69">
                  <c:v>362</c:v>
                </c:pt>
                <c:pt idx="70">
                  <c:v>334</c:v>
                </c:pt>
                <c:pt idx="71">
                  <c:v>365</c:v>
                </c:pt>
                <c:pt idx="72">
                  <c:v>362</c:v>
                </c:pt>
                <c:pt idx="73">
                  <c:v>390</c:v>
                </c:pt>
                <c:pt idx="74">
                  <c:v>343</c:v>
                </c:pt>
                <c:pt idx="75">
                  <c:v>366</c:v>
                </c:pt>
                <c:pt idx="76">
                  <c:v>288</c:v>
                </c:pt>
                <c:pt idx="77">
                  <c:v>256</c:v>
                </c:pt>
                <c:pt idx="78">
                  <c:v>226</c:v>
                </c:pt>
                <c:pt idx="79">
                  <c:v>209</c:v>
                </c:pt>
                <c:pt idx="80">
                  <c:v>223</c:v>
                </c:pt>
                <c:pt idx="81">
                  <c:v>224</c:v>
                </c:pt>
                <c:pt idx="82">
                  <c:v>175</c:v>
                </c:pt>
                <c:pt idx="83">
                  <c:v>168</c:v>
                </c:pt>
                <c:pt idx="84">
                  <c:v>165</c:v>
                </c:pt>
                <c:pt idx="85">
                  <c:v>156</c:v>
                </c:pt>
                <c:pt idx="86">
                  <c:v>133</c:v>
                </c:pt>
                <c:pt idx="87">
                  <c:v>110</c:v>
                </c:pt>
                <c:pt idx="88">
                  <c:v>100</c:v>
                </c:pt>
                <c:pt idx="89">
                  <c:v>88</c:v>
                </c:pt>
                <c:pt idx="90">
                  <c:v>67</c:v>
                </c:pt>
                <c:pt idx="91">
                  <c:v>66</c:v>
                </c:pt>
                <c:pt idx="92">
                  <c:v>37</c:v>
                </c:pt>
                <c:pt idx="93">
                  <c:v>33</c:v>
                </c:pt>
                <c:pt idx="94">
                  <c:v>31</c:v>
                </c:pt>
                <c:pt idx="95">
                  <c:v>21</c:v>
                </c:pt>
                <c:pt idx="96">
                  <c:v>16</c:v>
                </c:pt>
                <c:pt idx="97">
                  <c:v>9</c:v>
                </c:pt>
                <c:pt idx="98">
                  <c:v>5</c:v>
                </c:pt>
                <c:pt idx="99">
                  <c:v>10</c:v>
                </c:pt>
              </c:numCache>
            </c:numRef>
          </c:val>
          <c:extLst>
            <c:ext xmlns:c16="http://schemas.microsoft.com/office/drawing/2014/chart" uri="{C3380CC4-5D6E-409C-BE32-E72D297353CC}">
              <c16:uniqueId val="{00000000-862C-4E66-9BB1-BD4AD6E64D29}"/>
            </c:ext>
          </c:extLst>
        </c:ser>
        <c:dLbls>
          <c:showLegendKey val="0"/>
          <c:showVal val="0"/>
          <c:showCatName val="0"/>
          <c:showSerName val="0"/>
          <c:showPercent val="0"/>
          <c:showBubbleSize val="0"/>
        </c:dLbls>
        <c:axId val="195728896"/>
        <c:axId val="195730432"/>
      </c:areaChart>
      <c:lineChart>
        <c:grouping val="standard"/>
        <c:varyColors val="0"/>
        <c:ser>
          <c:idx val="1"/>
          <c:order val="1"/>
          <c:tx>
            <c:strRef>
              <c:f>'Figur 6'!$C$3</c:f>
              <c:strCache>
                <c:ptCount val="1"/>
                <c:pt idx="0">
                  <c:v>2030</c:v>
                </c:pt>
              </c:strCache>
            </c:strRef>
          </c:tx>
          <c:spPr>
            <a:ln>
              <a:solidFill>
                <a:srgbClr val="0070C0"/>
              </a:solidFill>
            </a:ln>
          </c:spPr>
          <c:marker>
            <c:symbol val="none"/>
          </c:marker>
          <c:cat>
            <c:strRef>
              <c:f>'Figur 6'!$A$4:$A$103</c:f>
              <c:strCache>
                <c:ptCount val="100"/>
                <c:pt idx="0">
                  <c:v>0 år</c:v>
                </c:pt>
                <c:pt idx="1">
                  <c:v>1 år</c:v>
                </c:pt>
                <c:pt idx="2">
                  <c:v>2 år</c:v>
                </c:pt>
                <c:pt idx="3">
                  <c:v>3 år</c:v>
                </c:pt>
                <c:pt idx="4">
                  <c:v>4 år</c:v>
                </c:pt>
                <c:pt idx="5">
                  <c:v>5 år</c:v>
                </c:pt>
                <c:pt idx="6">
                  <c:v>6 år</c:v>
                </c:pt>
                <c:pt idx="7">
                  <c:v>7 år</c:v>
                </c:pt>
                <c:pt idx="8">
                  <c:v>8 år</c:v>
                </c:pt>
                <c:pt idx="9">
                  <c:v>9 år</c:v>
                </c:pt>
                <c:pt idx="10">
                  <c:v>10 år</c:v>
                </c:pt>
                <c:pt idx="11">
                  <c:v>11 år</c:v>
                </c:pt>
                <c:pt idx="12">
                  <c:v>12 år</c:v>
                </c:pt>
                <c:pt idx="13">
                  <c:v>13 år</c:v>
                </c:pt>
                <c:pt idx="14">
                  <c:v>14 år</c:v>
                </c:pt>
                <c:pt idx="15">
                  <c:v>15 år</c:v>
                </c:pt>
                <c:pt idx="16">
                  <c:v>16 år</c:v>
                </c:pt>
                <c:pt idx="17">
                  <c:v>17 år</c:v>
                </c:pt>
                <c:pt idx="18">
                  <c:v>18 år</c:v>
                </c:pt>
                <c:pt idx="19">
                  <c:v>19 år</c:v>
                </c:pt>
                <c:pt idx="20">
                  <c:v>20 år</c:v>
                </c:pt>
                <c:pt idx="21">
                  <c:v>21 år</c:v>
                </c:pt>
                <c:pt idx="22">
                  <c:v>22 år</c:v>
                </c:pt>
                <c:pt idx="23">
                  <c:v>23 år</c:v>
                </c:pt>
                <c:pt idx="24">
                  <c:v>24 år</c:v>
                </c:pt>
                <c:pt idx="25">
                  <c:v>25 år</c:v>
                </c:pt>
                <c:pt idx="26">
                  <c:v>26 år</c:v>
                </c:pt>
                <c:pt idx="27">
                  <c:v>27 år</c:v>
                </c:pt>
                <c:pt idx="28">
                  <c:v>28 år</c:v>
                </c:pt>
                <c:pt idx="29">
                  <c:v>29 år</c:v>
                </c:pt>
                <c:pt idx="30">
                  <c:v>30 år</c:v>
                </c:pt>
                <c:pt idx="31">
                  <c:v>31 år</c:v>
                </c:pt>
                <c:pt idx="32">
                  <c:v>32 år</c:v>
                </c:pt>
                <c:pt idx="33">
                  <c:v>33 år</c:v>
                </c:pt>
                <c:pt idx="34">
                  <c:v>34 år</c:v>
                </c:pt>
                <c:pt idx="35">
                  <c:v>35 år</c:v>
                </c:pt>
                <c:pt idx="36">
                  <c:v>36 år</c:v>
                </c:pt>
                <c:pt idx="37">
                  <c:v>37 år</c:v>
                </c:pt>
                <c:pt idx="38">
                  <c:v>38 år</c:v>
                </c:pt>
                <c:pt idx="39">
                  <c:v>39 år</c:v>
                </c:pt>
                <c:pt idx="40">
                  <c:v>40 år</c:v>
                </c:pt>
                <c:pt idx="41">
                  <c:v>41 år</c:v>
                </c:pt>
                <c:pt idx="42">
                  <c:v>42 år</c:v>
                </c:pt>
                <c:pt idx="43">
                  <c:v>43 år</c:v>
                </c:pt>
                <c:pt idx="44">
                  <c:v>44 år</c:v>
                </c:pt>
                <c:pt idx="45">
                  <c:v>45 år</c:v>
                </c:pt>
                <c:pt idx="46">
                  <c:v>46 år</c:v>
                </c:pt>
                <c:pt idx="47">
                  <c:v>47 år</c:v>
                </c:pt>
                <c:pt idx="48">
                  <c:v>48 år</c:v>
                </c:pt>
                <c:pt idx="49">
                  <c:v>49 år</c:v>
                </c:pt>
                <c:pt idx="50">
                  <c:v>50 år</c:v>
                </c:pt>
                <c:pt idx="51">
                  <c:v>51 år</c:v>
                </c:pt>
                <c:pt idx="52">
                  <c:v>52 år</c:v>
                </c:pt>
                <c:pt idx="53">
                  <c:v>53 år</c:v>
                </c:pt>
                <c:pt idx="54">
                  <c:v>54 år</c:v>
                </c:pt>
                <c:pt idx="55">
                  <c:v>55 år</c:v>
                </c:pt>
                <c:pt idx="56">
                  <c:v>56 år</c:v>
                </c:pt>
                <c:pt idx="57">
                  <c:v>57 år</c:v>
                </c:pt>
                <c:pt idx="58">
                  <c:v>58 år</c:v>
                </c:pt>
                <c:pt idx="59">
                  <c:v>59 år</c:v>
                </c:pt>
                <c:pt idx="60">
                  <c:v>60 år</c:v>
                </c:pt>
                <c:pt idx="61">
                  <c:v>61 år</c:v>
                </c:pt>
                <c:pt idx="62">
                  <c:v>62 år</c:v>
                </c:pt>
                <c:pt idx="63">
                  <c:v>63 år</c:v>
                </c:pt>
                <c:pt idx="64">
                  <c:v>64 år</c:v>
                </c:pt>
                <c:pt idx="65">
                  <c:v>65 år</c:v>
                </c:pt>
                <c:pt idx="66">
                  <c:v>66 år</c:v>
                </c:pt>
                <c:pt idx="67">
                  <c:v>67 år</c:v>
                </c:pt>
                <c:pt idx="68">
                  <c:v>68 år</c:v>
                </c:pt>
                <c:pt idx="69">
                  <c:v>69 år</c:v>
                </c:pt>
                <c:pt idx="70">
                  <c:v>70 år</c:v>
                </c:pt>
                <c:pt idx="71">
                  <c:v>71 år</c:v>
                </c:pt>
                <c:pt idx="72">
                  <c:v>72 år</c:v>
                </c:pt>
                <c:pt idx="73">
                  <c:v>73 år</c:v>
                </c:pt>
                <c:pt idx="74">
                  <c:v>74 år</c:v>
                </c:pt>
                <c:pt idx="75">
                  <c:v>75 år</c:v>
                </c:pt>
                <c:pt idx="76">
                  <c:v>76 år</c:v>
                </c:pt>
                <c:pt idx="77">
                  <c:v>77 år</c:v>
                </c:pt>
                <c:pt idx="78">
                  <c:v>78 år</c:v>
                </c:pt>
                <c:pt idx="79">
                  <c:v>79 år</c:v>
                </c:pt>
                <c:pt idx="80">
                  <c:v>80 år</c:v>
                </c:pt>
                <c:pt idx="81">
                  <c:v>81 år</c:v>
                </c:pt>
                <c:pt idx="82">
                  <c:v>82 år</c:v>
                </c:pt>
                <c:pt idx="83">
                  <c:v>83 år</c:v>
                </c:pt>
                <c:pt idx="84">
                  <c:v>84 år</c:v>
                </c:pt>
                <c:pt idx="85">
                  <c:v>85 år</c:v>
                </c:pt>
                <c:pt idx="86">
                  <c:v>86 år</c:v>
                </c:pt>
                <c:pt idx="87">
                  <c:v>87 år</c:v>
                </c:pt>
                <c:pt idx="88">
                  <c:v>88 år</c:v>
                </c:pt>
                <c:pt idx="89">
                  <c:v>89 år</c:v>
                </c:pt>
                <c:pt idx="90">
                  <c:v>90 år</c:v>
                </c:pt>
                <c:pt idx="91">
                  <c:v>91 år</c:v>
                </c:pt>
                <c:pt idx="92">
                  <c:v>92 år</c:v>
                </c:pt>
                <c:pt idx="93">
                  <c:v>93 år</c:v>
                </c:pt>
                <c:pt idx="94">
                  <c:v>94 år</c:v>
                </c:pt>
                <c:pt idx="95">
                  <c:v>95 år</c:v>
                </c:pt>
                <c:pt idx="96">
                  <c:v>96 år</c:v>
                </c:pt>
                <c:pt idx="97">
                  <c:v>97 år</c:v>
                </c:pt>
                <c:pt idx="98">
                  <c:v>98 år</c:v>
                </c:pt>
                <c:pt idx="99">
                  <c:v>99+ år</c:v>
                </c:pt>
              </c:strCache>
            </c:strRef>
          </c:cat>
          <c:val>
            <c:numRef>
              <c:f>'Figur 6'!$C$4:$C$103</c:f>
              <c:numCache>
                <c:formatCode>#,##0</c:formatCode>
                <c:ptCount val="100"/>
                <c:pt idx="0">
                  <c:v>458.03844720000023</c:v>
                </c:pt>
                <c:pt idx="1">
                  <c:v>476.92565141000017</c:v>
                </c:pt>
                <c:pt idx="2">
                  <c:v>491.54021593000004</c:v>
                </c:pt>
                <c:pt idx="3">
                  <c:v>498.3876617200001</c:v>
                </c:pt>
                <c:pt idx="4">
                  <c:v>502.84668832999989</c:v>
                </c:pt>
                <c:pt idx="5">
                  <c:v>509.04637989000025</c:v>
                </c:pt>
                <c:pt idx="6">
                  <c:v>505.62367545000001</c:v>
                </c:pt>
                <c:pt idx="7">
                  <c:v>494.1761745299998</c:v>
                </c:pt>
                <c:pt idx="8">
                  <c:v>482.71860569999961</c:v>
                </c:pt>
                <c:pt idx="9">
                  <c:v>471.42516738999984</c:v>
                </c:pt>
                <c:pt idx="10">
                  <c:v>467.13606641000013</c:v>
                </c:pt>
                <c:pt idx="11">
                  <c:v>453.33092342000009</c:v>
                </c:pt>
                <c:pt idx="12">
                  <c:v>447.62908000999994</c:v>
                </c:pt>
                <c:pt idx="13">
                  <c:v>463.71542865000009</c:v>
                </c:pt>
                <c:pt idx="14">
                  <c:v>452.23125040999992</c:v>
                </c:pt>
                <c:pt idx="15">
                  <c:v>443.1852436800001</c:v>
                </c:pt>
                <c:pt idx="16">
                  <c:v>449.5728304999999</c:v>
                </c:pt>
                <c:pt idx="17">
                  <c:v>410.49346470000012</c:v>
                </c:pt>
                <c:pt idx="18">
                  <c:v>409.33938300999995</c:v>
                </c:pt>
                <c:pt idx="19">
                  <c:v>410.9631667300003</c:v>
                </c:pt>
                <c:pt idx="20">
                  <c:v>398.6842598099999</c:v>
                </c:pt>
                <c:pt idx="21">
                  <c:v>385.74624369000003</c:v>
                </c:pt>
                <c:pt idx="22">
                  <c:v>390.52151213000025</c:v>
                </c:pt>
                <c:pt idx="23">
                  <c:v>402.38040260000002</c:v>
                </c:pt>
                <c:pt idx="24">
                  <c:v>403.07817590000008</c:v>
                </c:pt>
                <c:pt idx="25">
                  <c:v>414.90936320000009</c:v>
                </c:pt>
                <c:pt idx="26">
                  <c:v>430.91627924999995</c:v>
                </c:pt>
                <c:pt idx="27">
                  <c:v>448.99786226999993</c:v>
                </c:pt>
                <c:pt idx="28">
                  <c:v>461.00764510000016</c:v>
                </c:pt>
                <c:pt idx="29">
                  <c:v>485.49702295000014</c:v>
                </c:pt>
                <c:pt idx="30">
                  <c:v>504.42669614000027</c:v>
                </c:pt>
                <c:pt idx="31">
                  <c:v>517.46522322999976</c:v>
                </c:pt>
                <c:pt idx="32">
                  <c:v>534.76217926999982</c:v>
                </c:pt>
                <c:pt idx="33">
                  <c:v>546.8368138699999</c:v>
                </c:pt>
                <c:pt idx="34">
                  <c:v>554.35451640000008</c:v>
                </c:pt>
                <c:pt idx="35">
                  <c:v>555.92010628999969</c:v>
                </c:pt>
                <c:pt idx="36">
                  <c:v>559.33601796000005</c:v>
                </c:pt>
                <c:pt idx="37">
                  <c:v>562.63599077000003</c:v>
                </c:pt>
                <c:pt idx="38">
                  <c:v>565.17373465000014</c:v>
                </c:pt>
                <c:pt idx="39">
                  <c:v>539.96188309000024</c:v>
                </c:pt>
                <c:pt idx="40">
                  <c:v>547.87212769999996</c:v>
                </c:pt>
                <c:pt idx="41">
                  <c:v>535.71892825999998</c:v>
                </c:pt>
                <c:pt idx="42">
                  <c:v>537.76271120000013</c:v>
                </c:pt>
                <c:pt idx="43">
                  <c:v>521.59302416000003</c:v>
                </c:pt>
                <c:pt idx="44">
                  <c:v>511.77856438000015</c:v>
                </c:pt>
                <c:pt idx="45">
                  <c:v>498.29971318999981</c:v>
                </c:pt>
                <c:pt idx="46">
                  <c:v>494.38841708000012</c:v>
                </c:pt>
                <c:pt idx="47">
                  <c:v>504.97304703000009</c:v>
                </c:pt>
                <c:pt idx="48">
                  <c:v>501.4472895400001</c:v>
                </c:pt>
                <c:pt idx="49">
                  <c:v>516.86872067000013</c:v>
                </c:pt>
                <c:pt idx="50">
                  <c:v>490.73066764000015</c:v>
                </c:pt>
                <c:pt idx="51">
                  <c:v>527.74630204999983</c:v>
                </c:pt>
                <c:pt idx="52">
                  <c:v>498.46555927000014</c:v>
                </c:pt>
                <c:pt idx="53">
                  <c:v>498.17836378000021</c:v>
                </c:pt>
                <c:pt idx="54">
                  <c:v>513.34049180000011</c:v>
                </c:pt>
                <c:pt idx="55">
                  <c:v>481.57830665000034</c:v>
                </c:pt>
                <c:pt idx="56">
                  <c:v>481.52150082999964</c:v>
                </c:pt>
                <c:pt idx="57">
                  <c:v>486.40496603999998</c:v>
                </c:pt>
                <c:pt idx="58">
                  <c:v>455.27059996000003</c:v>
                </c:pt>
                <c:pt idx="59">
                  <c:v>453.01979166999973</c:v>
                </c:pt>
                <c:pt idx="60">
                  <c:v>464.33458190000005</c:v>
                </c:pt>
                <c:pt idx="61">
                  <c:v>451.96541710999992</c:v>
                </c:pt>
                <c:pt idx="62">
                  <c:v>474.52918242999982</c:v>
                </c:pt>
                <c:pt idx="63">
                  <c:v>477.95374601000009</c:v>
                </c:pt>
                <c:pt idx="64">
                  <c:v>475.95826217999979</c:v>
                </c:pt>
                <c:pt idx="65">
                  <c:v>439.19992948000009</c:v>
                </c:pt>
                <c:pt idx="66">
                  <c:v>449.19393319999995</c:v>
                </c:pt>
                <c:pt idx="67">
                  <c:v>424.87481109000004</c:v>
                </c:pt>
                <c:pt idx="68">
                  <c:v>435.13369566000006</c:v>
                </c:pt>
                <c:pt idx="69">
                  <c:v>421.20011418000013</c:v>
                </c:pt>
                <c:pt idx="70">
                  <c:v>378.36785712000005</c:v>
                </c:pt>
                <c:pt idx="71">
                  <c:v>372.60516247999993</c:v>
                </c:pt>
                <c:pt idx="72">
                  <c:v>383.01915193999997</c:v>
                </c:pt>
                <c:pt idx="73">
                  <c:v>400.81680439999997</c:v>
                </c:pt>
                <c:pt idx="74">
                  <c:v>342.58665661999999</c:v>
                </c:pt>
                <c:pt idx="75">
                  <c:v>330.06911258999986</c:v>
                </c:pt>
                <c:pt idx="76">
                  <c:v>314.04073411999991</c:v>
                </c:pt>
                <c:pt idx="77">
                  <c:v>296.35448014000002</c:v>
                </c:pt>
                <c:pt idx="78">
                  <c:v>284.25623489999992</c:v>
                </c:pt>
                <c:pt idx="79">
                  <c:v>280.92803384999979</c:v>
                </c:pt>
                <c:pt idx="80">
                  <c:v>252.1086980799999</c:v>
                </c:pt>
                <c:pt idx="81">
                  <c:v>262.90069501000005</c:v>
                </c:pt>
                <c:pt idx="82">
                  <c:v>249.50320076</c:v>
                </c:pt>
                <c:pt idx="83">
                  <c:v>251.58572729000011</c:v>
                </c:pt>
                <c:pt idx="84">
                  <c:v>210.71638992999999</c:v>
                </c:pt>
                <c:pt idx="85">
                  <c:v>208.35471867999993</c:v>
                </c:pt>
                <c:pt idx="86">
                  <c:v>156.67831216999994</c:v>
                </c:pt>
                <c:pt idx="87">
                  <c:v>128.75989375</c:v>
                </c:pt>
                <c:pt idx="88">
                  <c:v>104.26584865000007</c:v>
                </c:pt>
                <c:pt idx="89">
                  <c:v>89.075097540000016</c:v>
                </c:pt>
                <c:pt idx="90">
                  <c:v>83.888715399999981</c:v>
                </c:pt>
                <c:pt idx="91">
                  <c:v>72.605089109999952</c:v>
                </c:pt>
                <c:pt idx="92">
                  <c:v>47.903356540000011</c:v>
                </c:pt>
                <c:pt idx="93">
                  <c:v>39.660265179999989</c:v>
                </c:pt>
                <c:pt idx="94">
                  <c:v>31.770789839999996</c:v>
                </c:pt>
                <c:pt idx="95">
                  <c:v>24.609987209999996</c:v>
                </c:pt>
                <c:pt idx="96">
                  <c:v>16.732251980000004</c:v>
                </c:pt>
                <c:pt idx="97">
                  <c:v>10.726136760000001</c:v>
                </c:pt>
                <c:pt idx="98">
                  <c:v>7.2288691799999993</c:v>
                </c:pt>
                <c:pt idx="99">
                  <c:v>11</c:v>
                </c:pt>
              </c:numCache>
            </c:numRef>
          </c:val>
          <c:smooth val="0"/>
          <c:extLst>
            <c:ext xmlns:c16="http://schemas.microsoft.com/office/drawing/2014/chart" uri="{C3380CC4-5D6E-409C-BE32-E72D297353CC}">
              <c16:uniqueId val="{00000001-862C-4E66-9BB1-BD4AD6E64D29}"/>
            </c:ext>
          </c:extLst>
        </c:ser>
        <c:dLbls>
          <c:showLegendKey val="0"/>
          <c:showVal val="0"/>
          <c:showCatName val="0"/>
          <c:showSerName val="0"/>
          <c:showPercent val="0"/>
          <c:showBubbleSize val="0"/>
        </c:dLbls>
        <c:marker val="1"/>
        <c:smooth val="0"/>
        <c:axId val="195728896"/>
        <c:axId val="195730432"/>
      </c:lineChart>
      <c:catAx>
        <c:axId val="195728896"/>
        <c:scaling>
          <c:orientation val="minMax"/>
        </c:scaling>
        <c:delete val="0"/>
        <c:axPos val="b"/>
        <c:numFmt formatCode="General" sourceLinked="0"/>
        <c:majorTickMark val="none"/>
        <c:minorTickMark val="none"/>
        <c:tickLblPos val="nextTo"/>
        <c:txPr>
          <a:bodyPr rot="5400000" vert="horz"/>
          <a:lstStyle/>
          <a:p>
            <a:pPr>
              <a:defRPr/>
            </a:pPr>
            <a:endParaRPr lang="da-DK"/>
          </a:p>
        </c:txPr>
        <c:crossAx val="195730432"/>
        <c:crosses val="autoZero"/>
        <c:auto val="1"/>
        <c:lblAlgn val="ctr"/>
        <c:lblOffset val="100"/>
        <c:noMultiLvlLbl val="0"/>
      </c:catAx>
      <c:valAx>
        <c:axId val="195730432"/>
        <c:scaling>
          <c:orientation val="minMax"/>
        </c:scaling>
        <c:delete val="0"/>
        <c:axPos val="l"/>
        <c:majorGridlines/>
        <c:numFmt formatCode="#,##0" sourceLinked="1"/>
        <c:majorTickMark val="none"/>
        <c:minorTickMark val="none"/>
        <c:tickLblPos val="nextTo"/>
        <c:crossAx val="19572889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rgbClr val="0070C0"/>
              </a:solidFill>
            </c:spPr>
            <c:extLst>
              <c:ext xmlns:c16="http://schemas.microsoft.com/office/drawing/2014/chart" uri="{C3380CC4-5D6E-409C-BE32-E72D297353CC}">
                <c16:uniqueId val="{00000001-45FA-477A-89F7-36E7B9A78158}"/>
              </c:ext>
            </c:extLst>
          </c:dPt>
          <c:dPt>
            <c:idx val="1"/>
            <c:bubble3D val="0"/>
            <c:spPr>
              <a:solidFill>
                <a:srgbClr val="FF0000"/>
              </a:solidFill>
            </c:spPr>
            <c:extLst>
              <c:ext xmlns:c16="http://schemas.microsoft.com/office/drawing/2014/chart" uri="{C3380CC4-5D6E-409C-BE32-E72D297353CC}">
                <c16:uniqueId val="{00000003-45FA-477A-89F7-36E7B9A78158}"/>
              </c:ext>
            </c:extLst>
          </c:dPt>
          <c:dPt>
            <c:idx val="2"/>
            <c:bubble3D val="0"/>
            <c:spPr>
              <a:solidFill>
                <a:srgbClr val="00B050"/>
              </a:solidFill>
            </c:spPr>
            <c:extLst>
              <c:ext xmlns:c16="http://schemas.microsoft.com/office/drawing/2014/chart" uri="{C3380CC4-5D6E-409C-BE32-E72D297353CC}">
                <c16:uniqueId val="{00000005-45FA-477A-89F7-36E7B9A78158}"/>
              </c:ext>
            </c:extLst>
          </c:dPt>
          <c:dLbls>
            <c:dLbl>
              <c:idx val="0"/>
              <c:layout>
                <c:manualLayout>
                  <c:x val="-0.22003849518810142"/>
                  <c:y val="4.9974117818606049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45FA-477A-89F7-36E7B9A78158}"/>
                </c:ext>
              </c:extLst>
            </c:dLbl>
            <c:dLbl>
              <c:idx val="1"/>
              <c:layout>
                <c:manualLayout>
                  <c:x val="9.187160979877515E-2"/>
                  <c:y val="-0.1829381743948674"/>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45FA-477A-89F7-36E7B9A78158}"/>
                </c:ext>
              </c:extLst>
            </c:dLbl>
            <c:dLbl>
              <c:idx val="2"/>
              <c:layout>
                <c:manualLayout>
                  <c:x val="0.17552646544181977"/>
                  <c:y val="0.13273293963254598"/>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45FA-477A-89F7-36E7B9A78158}"/>
                </c:ext>
              </c:extLst>
            </c:dLbl>
            <c:spPr>
              <a:noFill/>
              <a:ln>
                <a:noFill/>
              </a:ln>
              <a:effectLst/>
            </c:spPr>
            <c:dLblPos val="inEnd"/>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Ref>
              <c:f>'Figur '!$E$8:$E$10</c:f>
              <c:strCache>
                <c:ptCount val="3"/>
                <c:pt idx="0">
                  <c:v>Brøndby Strand</c:v>
                </c:pt>
                <c:pt idx="1">
                  <c:v>Brøndbyvester</c:v>
                </c:pt>
                <c:pt idx="2">
                  <c:v>Brøndbyøster</c:v>
                </c:pt>
              </c:strCache>
            </c:strRef>
          </c:cat>
          <c:val>
            <c:numRef>
              <c:f>'Figur '!$G$8:$G$10</c:f>
              <c:numCache>
                <c:formatCode>#,##0</c:formatCode>
                <c:ptCount val="3"/>
                <c:pt idx="0">
                  <c:v>14139</c:v>
                </c:pt>
                <c:pt idx="1">
                  <c:v>9008</c:v>
                </c:pt>
                <c:pt idx="2">
                  <c:v>11816</c:v>
                </c:pt>
              </c:numCache>
            </c:numRef>
          </c:val>
          <c:extLst>
            <c:ext xmlns:c16="http://schemas.microsoft.com/office/drawing/2014/chart" uri="{C3380CC4-5D6E-409C-BE32-E72D297353CC}">
              <c16:uniqueId val="{00000006-45FA-477A-89F7-36E7B9A78158}"/>
            </c:ext>
          </c:extLst>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da-DK"/>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'Ark1'!$M$7</c:f>
              <c:strCache>
                <c:ptCount val="1"/>
                <c:pt idx="0">
                  <c:v>Folketal, prog.</c:v>
                </c:pt>
              </c:strCache>
            </c:strRef>
          </c:tx>
          <c:marker>
            <c:symbol val="none"/>
          </c:marker>
          <c:cat>
            <c:numRef>
              <c:f>'Ark1'!$Y$2:$AE$2</c:f>
              <c:numCache>
                <c:formatCode>General</c:formatCode>
                <c:ptCount val="7"/>
                <c:pt idx="0">
                  <c:v>2013</c:v>
                </c:pt>
                <c:pt idx="1">
                  <c:v>2014</c:v>
                </c:pt>
                <c:pt idx="2">
                  <c:v>2015</c:v>
                </c:pt>
                <c:pt idx="3">
                  <c:v>2016</c:v>
                </c:pt>
                <c:pt idx="4">
                  <c:v>2017</c:v>
                </c:pt>
                <c:pt idx="5">
                  <c:v>2018</c:v>
                </c:pt>
                <c:pt idx="6">
                  <c:v>2019</c:v>
                </c:pt>
              </c:numCache>
            </c:numRef>
          </c:cat>
          <c:val>
            <c:numRef>
              <c:f>'Ark1'!$N$7:$T$7</c:f>
              <c:numCache>
                <c:formatCode>General</c:formatCode>
                <c:ptCount val="7"/>
                <c:pt idx="0">
                  <c:v>34282</c:v>
                </c:pt>
                <c:pt idx="1">
                  <c:v>34782</c:v>
                </c:pt>
                <c:pt idx="2">
                  <c:v>35345</c:v>
                </c:pt>
                <c:pt idx="3">
                  <c:v>35591</c:v>
                </c:pt>
                <c:pt idx="4">
                  <c:v>35959</c:v>
                </c:pt>
                <c:pt idx="5">
                  <c:v>35646</c:v>
                </c:pt>
                <c:pt idx="6">
                  <c:v>35309</c:v>
                </c:pt>
              </c:numCache>
            </c:numRef>
          </c:val>
          <c:smooth val="0"/>
          <c:extLst>
            <c:ext xmlns:c16="http://schemas.microsoft.com/office/drawing/2014/chart" uri="{C3380CC4-5D6E-409C-BE32-E72D297353CC}">
              <c16:uniqueId val="{00000000-83D1-4684-AFD4-E4FE3068048D}"/>
            </c:ext>
          </c:extLst>
        </c:ser>
        <c:ser>
          <c:idx val="1"/>
          <c:order val="1"/>
          <c:tx>
            <c:strRef>
              <c:f>'Ark1'!$X$7</c:f>
              <c:strCache>
                <c:ptCount val="1"/>
                <c:pt idx="0">
                  <c:v>Folketal, faktisk</c:v>
                </c:pt>
              </c:strCache>
            </c:strRef>
          </c:tx>
          <c:marker>
            <c:symbol val="none"/>
          </c:marker>
          <c:cat>
            <c:numRef>
              <c:f>'Ark1'!$Y$2:$AE$2</c:f>
              <c:numCache>
                <c:formatCode>General</c:formatCode>
                <c:ptCount val="7"/>
                <c:pt idx="0">
                  <c:v>2013</c:v>
                </c:pt>
                <c:pt idx="1">
                  <c:v>2014</c:v>
                </c:pt>
                <c:pt idx="2">
                  <c:v>2015</c:v>
                </c:pt>
                <c:pt idx="3">
                  <c:v>2016</c:v>
                </c:pt>
                <c:pt idx="4">
                  <c:v>2017</c:v>
                </c:pt>
                <c:pt idx="5">
                  <c:v>2018</c:v>
                </c:pt>
                <c:pt idx="6">
                  <c:v>2019</c:v>
                </c:pt>
              </c:numCache>
            </c:numRef>
          </c:cat>
          <c:val>
            <c:numRef>
              <c:f>'Ark1'!$Y$7:$AE$7</c:f>
              <c:numCache>
                <c:formatCode>General</c:formatCode>
                <c:ptCount val="7"/>
                <c:pt idx="0">
                  <c:v>34581</c:v>
                </c:pt>
                <c:pt idx="1">
                  <c:v>35048</c:v>
                </c:pt>
                <c:pt idx="2">
                  <c:v>35327</c:v>
                </c:pt>
                <c:pt idx="3">
                  <c:v>35601</c:v>
                </c:pt>
                <c:pt idx="4">
                  <c:v>35541</c:v>
                </c:pt>
                <c:pt idx="5">
                  <c:v>35393</c:v>
                </c:pt>
                <c:pt idx="6">
                  <c:v>35094</c:v>
                </c:pt>
              </c:numCache>
            </c:numRef>
          </c:val>
          <c:smooth val="0"/>
          <c:extLst>
            <c:ext xmlns:c16="http://schemas.microsoft.com/office/drawing/2014/chart" uri="{C3380CC4-5D6E-409C-BE32-E72D297353CC}">
              <c16:uniqueId val="{00000001-83D1-4684-AFD4-E4FE3068048D}"/>
            </c:ext>
          </c:extLst>
        </c:ser>
        <c:dLbls>
          <c:showLegendKey val="0"/>
          <c:showVal val="0"/>
          <c:showCatName val="0"/>
          <c:showSerName val="0"/>
          <c:showPercent val="0"/>
          <c:showBubbleSize val="0"/>
        </c:dLbls>
        <c:smooth val="0"/>
        <c:axId val="196448640"/>
        <c:axId val="196450176"/>
      </c:lineChart>
      <c:catAx>
        <c:axId val="196448640"/>
        <c:scaling>
          <c:orientation val="minMax"/>
        </c:scaling>
        <c:delete val="0"/>
        <c:axPos val="b"/>
        <c:numFmt formatCode="General" sourceLinked="1"/>
        <c:majorTickMark val="out"/>
        <c:minorTickMark val="none"/>
        <c:tickLblPos val="nextTo"/>
        <c:crossAx val="196450176"/>
        <c:crosses val="autoZero"/>
        <c:auto val="1"/>
        <c:lblAlgn val="ctr"/>
        <c:lblOffset val="100"/>
        <c:noMultiLvlLbl val="0"/>
      </c:catAx>
      <c:valAx>
        <c:axId val="196450176"/>
        <c:scaling>
          <c:orientation val="minMax"/>
        </c:scaling>
        <c:delete val="0"/>
        <c:axPos val="l"/>
        <c:majorGridlines/>
        <c:numFmt formatCode="#,##0" sourceLinked="0"/>
        <c:majorTickMark val="out"/>
        <c:minorTickMark val="none"/>
        <c:tickLblPos val="nextTo"/>
        <c:crossAx val="1964486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27A36-FD87-4A47-8EF4-95C8B97D3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7858</Words>
  <Characters>43853</Characters>
  <Application>Microsoft Office Word</Application>
  <DocSecurity>0</DocSecurity>
  <Lines>1993</Lines>
  <Paragraphs>1436</Paragraphs>
  <ScaleCrop>false</ScaleCrop>
  <HeadingPairs>
    <vt:vector size="2" baseType="variant">
      <vt:variant>
        <vt:lpstr>Titel</vt:lpstr>
      </vt:variant>
      <vt:variant>
        <vt:i4>1</vt:i4>
      </vt:variant>
    </vt:vector>
  </HeadingPairs>
  <TitlesOfParts>
    <vt:vector size="1" baseType="lpstr">
      <vt:lpstr>Befolkningsprognose 2020 -2030</vt:lpstr>
    </vt:vector>
  </TitlesOfParts>
  <Company>Brøndby Kommune</Company>
  <LinksUpToDate>false</LinksUpToDate>
  <CharactersWithSpaces>50275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Befolkningsprognose 2020 -2030</dc:title>
  <dc:subject>Hovedrapporten</dc:subject>
  <dc:creator>Anders Junker Pedersen</dc:creator>
  <cp:keywords/>
  <dc:description/>
  <cp:lastModifiedBy>Jacob Thejlman Bruun</cp:lastModifiedBy>
  <cp:revision>2</cp:revision>
  <cp:lastPrinted>2019-04-15T08:47:00Z</cp:lastPrinted>
  <dcterms:created xsi:type="dcterms:W3CDTF">2020-08-21T07:09:00Z</dcterms:created>
  <dcterms:modified xsi:type="dcterms:W3CDTF">2020-08-21T07:09:00Z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23000293019-113095413742019</vt:lpwstr>
  </property>
  <property fmtid="{D5CDD505-2E9C-101B-9397-08002B2CF9AE}" pid="3" name="DocumentNumber">
    <vt:lpwstr>D2019-99522</vt:lpwstr>
  </property>
  <property fmtid="{D5CDD505-2E9C-101B-9397-08002B2CF9AE}" pid="4" name="DocumentContentId">
    <vt:lpwstr>78BD737626974090855E712F6A4AADD9</vt:lpwstr>
  </property>
  <property fmtid="{D5CDD505-2E9C-101B-9397-08002B2CF9AE}" pid="5" name="DocumentReadOnly">
    <vt:lpwstr>True</vt:lpwstr>
  </property>
  <property fmtid="{D5CDD505-2E9C-101B-9397-08002B2CF9AE}" pid="6" name="IsNovaDocument">
    <vt:lpwstr>True</vt:lpwstr>
  </property>
</Properties>
</file>