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558942218"/>
        <w:docPartObj>
          <w:docPartGallery w:val="Cover Pages"/>
          <w:docPartUnique/>
        </w:docPartObj>
      </w:sdtPr>
      <w:sdtEndPr>
        <w:rPr>
          <w:rStyle w:val="Svaghenvisning"/>
          <w:rFonts w:cs="Arial"/>
          <w:smallCaps/>
          <w:color w:val="C0504D" w:themeColor="accent2"/>
          <w:szCs w:val="22"/>
          <w:u w:val="single"/>
        </w:rPr>
      </w:sdtEndPr>
      <w:sdtContent>
        <w:p w:rsidR="007E3567" w:rsidRPr="00216A3A" w:rsidRDefault="007E3567">
          <w:r w:rsidRPr="00216A3A">
            <w:rPr>
              <w:noProof/>
            </w:rPr>
            <w:drawing>
              <wp:inline distT="0" distB="0" distL="0" distR="0" wp14:anchorId="0B35D8BC" wp14:editId="2BC85381">
                <wp:extent cx="3800475" cy="1266825"/>
                <wp:effectExtent l="0" t="0" r="9525" b="9525"/>
                <wp:docPr id="1" name="Billede 1" descr="C:\Users\anjup\Desktop\Byvaaben_med_navn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jup\Desktop\Byvaaben_med_navn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04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71"/>
            <w:tblW w:w="4238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56"/>
          </w:tblGrid>
          <w:tr w:rsidR="007E3567" w:rsidRPr="00216A3A" w:rsidTr="007E3567">
            <w:trPr>
              <w:trHeight w:val="2318"/>
            </w:trPr>
            <w:tc>
              <w:tcPr>
                <w:tcW w:w="8389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el"/>
                  <w:id w:val="13406919"/>
                  <w:placeholder>
                    <w:docPart w:val="14F805F86FFD4F55B2F5E4EEBED03DE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E3567" w:rsidRPr="00216A3A" w:rsidRDefault="00164492" w:rsidP="007E3567">
                    <w:pPr>
                      <w:pStyle w:val="Ingenafstand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Budgetforslag 2021-2024</w:t>
                    </w:r>
                  </w:p>
                </w:sdtContent>
              </w:sdt>
            </w:tc>
          </w:tr>
          <w:tr w:rsidR="007E3567" w:rsidRPr="00216A3A" w:rsidTr="007E3567">
            <w:trPr>
              <w:trHeight w:val="373"/>
            </w:trPr>
            <w:sdt>
              <w:sdtPr>
                <w:rPr>
                  <w:i/>
                  <w:color w:val="365F91" w:themeColor="accent1" w:themeShade="BF"/>
                  <w:sz w:val="48"/>
                  <w:szCs w:val="48"/>
                </w:rPr>
                <w:alias w:val="Undertitel"/>
                <w:id w:val="13406923"/>
                <w:placeholder>
                  <w:docPart w:val="BED8C6F6BF6E40169987356B677B769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38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E3567" w:rsidRPr="00216A3A" w:rsidRDefault="007C6E10" w:rsidP="007C6E10">
                    <w:pPr>
                      <w:pStyle w:val="Ingenafstand"/>
                      <w:rPr>
                        <w:color w:val="365F91" w:themeColor="accent1" w:themeShade="BF"/>
                        <w:sz w:val="24"/>
                      </w:rPr>
                    </w:pPr>
                    <w:r w:rsidRPr="00164492">
                      <w:rPr>
                        <w:i/>
                        <w:color w:val="365F91" w:themeColor="accent1" w:themeShade="BF"/>
                        <w:sz w:val="48"/>
                        <w:szCs w:val="48"/>
                      </w:rPr>
                      <w:t>Budgetnotat 4</w:t>
                    </w:r>
                    <w:r w:rsidR="00164492" w:rsidRPr="00164492">
                      <w:rPr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 – ”Afslutningsfasen”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7E3567" w:rsidRPr="00216A3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E3567" w:rsidRPr="00216A3A" w:rsidRDefault="007E3567">
                <w:pPr>
                  <w:pStyle w:val="Ingenafstand"/>
                  <w:rPr>
                    <w:color w:val="4F81BD" w:themeColor="accent1"/>
                    <w:sz w:val="28"/>
                    <w:szCs w:val="28"/>
                  </w:rPr>
                </w:pPr>
                <w:r w:rsidRPr="00216A3A">
                  <w:rPr>
                    <w:color w:val="4F81BD" w:themeColor="accent1"/>
                    <w:sz w:val="28"/>
                    <w:szCs w:val="28"/>
                  </w:rPr>
                  <w:t>Økonomi- og Ressourceforvaltningen</w:t>
                </w:r>
              </w:p>
              <w:p w:rsidR="007E3567" w:rsidRPr="00216A3A" w:rsidRDefault="007E3567">
                <w:pPr>
                  <w:pStyle w:val="Ingenafstand"/>
                  <w:rPr>
                    <w:color w:val="4F81BD" w:themeColor="accent1"/>
                  </w:rPr>
                </w:pPr>
              </w:p>
            </w:tc>
          </w:tr>
        </w:tbl>
        <w:p w:rsidR="007E3567" w:rsidRPr="00216A3A" w:rsidRDefault="007E3567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br w:type="page"/>
          </w:r>
        </w:p>
        <w:p w:rsidR="00295E84" w:rsidRPr="00CC3879" w:rsidRDefault="00F373DD" w:rsidP="00E66E3D">
          <w:pPr>
            <w:pStyle w:val="Typografi3"/>
          </w:pPr>
          <w:r w:rsidRPr="00E66E3D">
            <w:rPr>
              <w:rStyle w:val="Svaghenvisning"/>
              <w:smallCaps w:val="0"/>
              <w:color w:val="auto"/>
              <w:u w:val="none"/>
            </w:rPr>
            <w:lastRenderedPageBreak/>
            <w:t>Indledning</w:t>
          </w:r>
        </w:p>
        <w:p w:rsidR="007B443F" w:rsidRDefault="007C6E10" w:rsidP="00DA5017">
          <w:r>
            <w:t>Budgetlægninge</w:t>
          </w:r>
          <w:r w:rsidR="00840CD7">
            <w:t>n befinder sig</w:t>
          </w:r>
          <w:r w:rsidR="005B607F">
            <w:t xml:space="preserve"> nu</w:t>
          </w:r>
          <w:r w:rsidR="00F34B4E">
            <w:t xml:space="preserve"> i den</w:t>
          </w:r>
          <w:r>
            <w:t xml:space="preserve"> afsluttende fase. Det er</w:t>
          </w:r>
          <w:r w:rsidR="003A42E2">
            <w:t xml:space="preserve"> derfor</w:t>
          </w:r>
          <w:r>
            <w:t xml:space="preserve"> tid ti</w:t>
          </w:r>
          <w:r w:rsidR="00164492">
            <w:t>l at få budgetforslaget for 2021-2024</w:t>
          </w:r>
          <w:r>
            <w:t xml:space="preserve"> endelig godkendt.</w:t>
          </w:r>
          <w:r w:rsidR="00251925">
            <w:t xml:space="preserve"> </w:t>
          </w:r>
          <w:r w:rsidR="00F34B4E">
            <w:t>En enig kommunalbestyrelse har</w:t>
          </w:r>
          <w:r w:rsidR="00251925">
            <w:t xml:space="preserve"> frem mod 2. behandlinge</w:t>
          </w:r>
          <w:r w:rsidR="00F34B4E">
            <w:t>n af budgetforslag</w:t>
          </w:r>
          <w:r w:rsidR="00164492">
            <w:t>et</w:t>
          </w:r>
          <w:r w:rsidR="00F34B4E">
            <w:t xml:space="preserve"> </w:t>
          </w:r>
          <w:r w:rsidR="00164492">
            <w:t>samtidig</w:t>
          </w:r>
          <w:r w:rsidR="00251925">
            <w:t xml:space="preserve"> indgået et budgetforlig.</w:t>
          </w:r>
          <w:r w:rsidR="003A42E2">
            <w:t xml:space="preserve"> Konsekvenserne heraf vil blive beskrevet i dette budgetnotat.</w:t>
          </w:r>
        </w:p>
        <w:p w:rsidR="007B443F" w:rsidRDefault="007B443F" w:rsidP="00DA5017"/>
        <w:p w:rsidR="00163407" w:rsidRDefault="003A42E2" w:rsidP="00DA5017">
          <w:r>
            <w:t>Hoved</w:t>
          </w:r>
          <w:r w:rsidR="00F34B4E">
            <w:t>i</w:t>
          </w:r>
          <w:r w:rsidR="007C6E10">
            <w:t>ndholdet i budgetbilag 4 er koncentreret om budgetkataloget og de prioriteringer der politisk er foretaget</w:t>
          </w:r>
          <w:r w:rsidR="00F34B4E">
            <w:t xml:space="preserve"> mellem 1. og 2. behandlingen</w:t>
          </w:r>
          <w:r w:rsidR="005B607F">
            <w:t xml:space="preserve"> som følge at budgetforliget</w:t>
          </w:r>
          <w:r w:rsidR="00164492">
            <w:t>.</w:t>
          </w:r>
          <w:r w:rsidR="001E254F">
            <w:t xml:space="preserve"> Lov</w:t>
          </w:r>
          <w:r w:rsidR="009562D9">
            <w:t xml:space="preserve">- og Cirkulæreprogrammet </w:t>
          </w:r>
          <w:r w:rsidR="00164492">
            <w:t>er også indarbejdet som det var aftalt i forrige Budgetnotat. Der er også en</w:t>
          </w:r>
          <w:r w:rsidR="00E03C85">
            <w:t xml:space="preserve"> opstilling af anlægspuljerne</w:t>
          </w:r>
          <w:r>
            <w:t>,</w:t>
          </w:r>
          <w:r w:rsidR="00E03C85">
            <w:t xml:space="preserve"> hvortil der søges anlægsbev</w:t>
          </w:r>
          <w:r>
            <w:t>illing. Sidst i budgetnotatet</w:t>
          </w:r>
          <w:r w:rsidR="00E03C85">
            <w:t xml:space="preserve"> </w:t>
          </w:r>
          <w:r w:rsidR="00F34B4E">
            <w:t>præsenteres</w:t>
          </w:r>
          <w:r w:rsidR="00E03C85">
            <w:t xml:space="preserve"> en resultatopgørelse og en likviditetsoversigt</w:t>
          </w:r>
          <w:r w:rsidR="009562D9">
            <w:t>.</w:t>
          </w:r>
        </w:p>
        <w:p w:rsidR="00840CD7" w:rsidRDefault="00840CD7" w:rsidP="00DA5017"/>
        <w:p w:rsidR="00840CD7" w:rsidRPr="00216A3A" w:rsidRDefault="00840CD7" w:rsidP="00DA5017">
          <w:pPr>
            <w:rPr>
              <w:rStyle w:val="Svaghenvisning"/>
              <w:smallCaps w:val="0"/>
              <w:color w:val="auto"/>
              <w:u w:val="none"/>
            </w:rPr>
          </w:pPr>
          <w:r>
            <w:t>Som bilag er vedhæftet en oversigt af de ændringer der er indarbejdet mellem 1. og 2. behandlingen</w:t>
          </w:r>
          <w:r w:rsidR="00BA759D">
            <w:t xml:space="preserve"> (bilag A)</w:t>
          </w:r>
          <w:r>
            <w:t>, selve budg</w:t>
          </w:r>
          <w:r w:rsidR="004748E8">
            <w:t>etforliget (aftaleteksten</w:t>
          </w:r>
          <w:r w:rsidR="00BA759D">
            <w:t>, bilag B</w:t>
          </w:r>
          <w:r w:rsidR="004748E8">
            <w:t>),</w:t>
          </w:r>
          <w:r>
            <w:t xml:space="preserve"> </w:t>
          </w:r>
          <w:r w:rsidR="00BA759D">
            <w:t xml:space="preserve">Investeringsoversigt (bilag C) </w:t>
          </w:r>
          <w:r>
            <w:t>kommissoriebeskrivelse</w:t>
          </w:r>
          <w:r w:rsidR="004748E8">
            <w:t>r</w:t>
          </w:r>
          <w:r>
            <w:t xml:space="preserve"> af kommu</w:t>
          </w:r>
          <w:r w:rsidR="004748E8">
            <w:t>nens anlægsprojekter- og puljer</w:t>
          </w:r>
          <w:r w:rsidR="00BA759D">
            <w:t xml:space="preserve"> (bilag D)</w:t>
          </w:r>
          <w:r w:rsidR="004748E8">
            <w:t xml:space="preserve"> samt en foreløbig takstoversigt</w:t>
          </w:r>
          <w:r w:rsidR="00BA759D">
            <w:t xml:space="preserve"> (bilag E)</w:t>
          </w:r>
          <w:r w:rsidR="004748E8">
            <w:t>.</w:t>
          </w:r>
        </w:p>
        <w:p w:rsidR="00163407" w:rsidRPr="00E66E3D" w:rsidRDefault="000F2C68" w:rsidP="00E66E3D">
          <w:pPr>
            <w:pStyle w:val="Typografi3"/>
            <w:rPr>
              <w:rStyle w:val="Svaghenvisning"/>
              <w:smallCaps w:val="0"/>
              <w:color w:val="auto"/>
              <w:u w:val="none"/>
            </w:rPr>
          </w:pPr>
          <w:r w:rsidRPr="00E66E3D">
            <w:rPr>
              <w:rStyle w:val="Svaghenvisning"/>
              <w:smallCaps w:val="0"/>
              <w:color w:val="auto"/>
              <w:u w:val="none"/>
            </w:rPr>
            <w:t>Siden sidst</w:t>
          </w:r>
        </w:p>
        <w:p w:rsidR="005D48A2" w:rsidRPr="00216A3A" w:rsidRDefault="008B48FF" w:rsidP="00163407">
          <w:r>
            <w:t>På et temamøde i</w:t>
          </w:r>
          <w:r w:rsidR="007C6E10">
            <w:t xml:space="preserve"> </w:t>
          </w:r>
          <w:r w:rsidR="00164492">
            <w:t>midten af august</w:t>
          </w:r>
          <w:r>
            <w:t xml:space="preserve"> fik kommunalbestyrelsen</w:t>
          </w:r>
          <w:r w:rsidR="00164492">
            <w:t xml:space="preserve"> </w:t>
          </w:r>
          <w:r w:rsidR="007C6E10">
            <w:t xml:space="preserve">en gennemgang af </w:t>
          </w:r>
          <w:r w:rsidR="00164492">
            <w:t>kommunens indtægtsgrundlag, likviditet, budgetkatalog og investeringsoversigt</w:t>
          </w:r>
          <w:r w:rsidR="00840CD7">
            <w:t>.</w:t>
          </w:r>
          <w:r w:rsidR="00164492">
            <w:t xml:space="preserve"> Afslutningen på temamødet var samtidig startskuddet til de politiske forhandlinger om et budgetforlig. Som nævnt indledningsvist er der indgået en aftale mellem all</w:t>
          </w:r>
          <w:r w:rsidR="009A7B4E">
            <w:t>e partier i Kommunalbestyr</w:t>
          </w:r>
          <w:r w:rsidR="00840CD7">
            <w:t>elsen</w:t>
          </w:r>
          <w:r w:rsidR="005B607F">
            <w:t xml:space="preserve"> som blev underskrevet den 10. september</w:t>
          </w:r>
          <w:r w:rsidR="00840CD7">
            <w:t>.</w:t>
          </w:r>
          <w:r w:rsidR="009A7B4E">
            <w:t xml:space="preserve"> </w:t>
          </w:r>
          <w:r w:rsidR="00840CD7">
            <w:t>På indtægtssiden er der sket nogle småjusteringer grundet nogle tilskud i udligningen som ikk</w:t>
          </w:r>
          <w:r>
            <w:t>e</w:t>
          </w:r>
          <w:r w:rsidR="00CD21A8">
            <w:t xml:space="preserve"> skal pris- og lønfremskrives samt</w:t>
          </w:r>
          <w:r>
            <w:t xml:space="preserve"> i kommunernes udskrivningsgrundlag. Ændringerne har marginal betydning og omfatter alene overslagsårene.</w:t>
          </w:r>
        </w:p>
        <w:p w:rsidR="005D48A2" w:rsidRPr="00620A6D" w:rsidRDefault="00AC0AC7" w:rsidP="00620A6D">
          <w:pPr>
            <w:pStyle w:val="Typografi3"/>
            <w:numPr>
              <w:ilvl w:val="0"/>
              <w:numId w:val="22"/>
            </w:numPr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t>Budgetkataloget</w:t>
          </w:r>
        </w:p>
        <w:p w:rsidR="00816E88" w:rsidRDefault="00A409FC" w:rsidP="00065FDC">
          <w:r>
            <w:t xml:space="preserve">Fra </w:t>
          </w:r>
          <w:r w:rsidR="005B607F">
            <w:t xml:space="preserve">midten af </w:t>
          </w:r>
          <w:r>
            <w:t>august måne</w:t>
          </w:r>
          <w:r w:rsidR="003C05D3">
            <w:t>d og frem til starten af september</w:t>
          </w:r>
          <w:r>
            <w:t xml:space="preserve"> er der som led i budgetforhandlingerne</w:t>
          </w:r>
          <w:r w:rsidR="008B48FF">
            <w:t xml:space="preserve"> mellem alle partier i Kommunalbestyrelsen,</w:t>
          </w:r>
          <w:r>
            <w:t xml:space="preserve"> arbejdet med p</w:t>
          </w:r>
          <w:r w:rsidR="005B607F">
            <w:t>rioritering</w:t>
          </w:r>
          <w:r w:rsidR="008B48FF">
            <w:t>er</w:t>
          </w:r>
          <w:r w:rsidR="005B607F">
            <w:t xml:space="preserve"> fra budgetkataloget. </w:t>
          </w:r>
        </w:p>
        <w:p w:rsidR="00252323" w:rsidRDefault="00252323" w:rsidP="00065FDC"/>
        <w:p w:rsidR="00252323" w:rsidRDefault="00252323" w:rsidP="00065FDC">
          <w:r>
            <w:t>Alt i alt har der været et råderum på ca. 17,0 mio. kr. Der er fra Kommunalbestyrelsens side valgt at fore</w:t>
          </w:r>
          <w:r w:rsidR="00722400">
            <w:t>slå udvidelser for 12,3</w:t>
          </w:r>
          <w:r>
            <w:t xml:space="preserve"> mio. kr.</w:t>
          </w:r>
          <w:r w:rsidR="00722400">
            <w:t>, heraf 11,8 mio. kr. i serviceudgifter,</w:t>
          </w:r>
          <w:r>
            <w:t xml:space="preserve"> mens de resterende </w:t>
          </w:r>
          <w:r w:rsidR="00722400">
            <w:t xml:space="preserve">ca. </w:t>
          </w:r>
          <w:r>
            <w:t xml:space="preserve">5,0 mio. kr. er anvendt til at reducere måltallet i 2021 fra 10 mio. kr. til 5,0 mio. </w:t>
          </w:r>
          <w:r w:rsidR="00722400">
            <w:t>kr. Det betyder med andre ord at der</w:t>
          </w:r>
          <w:r>
            <w:t xml:space="preserve"> reduceres</w:t>
          </w:r>
          <w:r w:rsidR="008B48FF">
            <w:t xml:space="preserve"> i budgetforslaget</w:t>
          </w:r>
          <w:r w:rsidR="00722400">
            <w:t xml:space="preserve"> med et lavere</w:t>
          </w:r>
          <w:r>
            <w:t xml:space="preserve"> beløb end planlagt.</w:t>
          </w:r>
        </w:p>
        <w:p w:rsidR="003C05D3" w:rsidRDefault="003C05D3" w:rsidP="00065FDC"/>
        <w:p w:rsidR="003C05D3" w:rsidRDefault="00840CD7" w:rsidP="003C05D3">
          <w:r>
            <w:t xml:space="preserve">Med denne prioritering holder kommunen sig inden </w:t>
          </w:r>
          <w:r w:rsidR="00AC1A8C">
            <w:t>for de aftalte rammer om serviceudgifter som er indgået mellem KL og regeringen.</w:t>
          </w:r>
        </w:p>
        <w:p w:rsidR="00513C86" w:rsidRDefault="00513C86" w:rsidP="003C05D3"/>
        <w:p w:rsidR="00513C86" w:rsidRDefault="00513C86" w:rsidP="003C05D3">
          <w:r>
            <w:t xml:space="preserve">Den generelle reserve </w:t>
          </w:r>
          <w:r w:rsidR="005B607F">
            <w:t xml:space="preserve">har finansieret knap 0,2 mio. kr. således rammerne overholdes. </w:t>
          </w:r>
          <w:r w:rsidR="00334A7B">
            <w:t>Servicerammepuljen</w:t>
          </w:r>
          <w:r w:rsidR="005B607F">
            <w:t xml:space="preserve"> </w:t>
          </w:r>
          <w:r w:rsidR="00252323">
            <w:t>vil herefter udgøre</w:t>
          </w:r>
          <w:r w:rsidR="00BA759D">
            <w:t xml:space="preserve"> ca.</w:t>
          </w:r>
          <w:r>
            <w:t xml:space="preserve"> </w:t>
          </w:r>
          <w:r w:rsidR="005B607F">
            <w:t>14,5 mio. kr. svarende til knap 0,7</w:t>
          </w:r>
          <w:r w:rsidR="00FB50B2">
            <w:t xml:space="preserve"> </w:t>
          </w:r>
          <w:r w:rsidRPr="005B607F">
            <w:t>%</w:t>
          </w:r>
          <w:r>
            <w:t xml:space="preserve"> af kommunens serviceudgifter, hvilket er p</w:t>
          </w:r>
          <w:r w:rsidR="005B607F">
            <w:t>å niveau med de gældende regler (max 1,0 %).</w:t>
          </w:r>
        </w:p>
        <w:p w:rsidR="00816E88" w:rsidRDefault="00816E88" w:rsidP="00065FDC"/>
        <w:p w:rsidR="00A409FC" w:rsidRDefault="00816E88" w:rsidP="00065FDC">
          <w:r>
            <w:t>Det samlede r</w:t>
          </w:r>
          <w:r w:rsidR="00252323">
            <w:t xml:space="preserve">esultatet </w:t>
          </w:r>
          <w:r w:rsidR="008B48FF">
            <w:t xml:space="preserve">af de foretagne prioriteringer </w:t>
          </w:r>
          <w:r w:rsidR="00252323">
            <w:t>vises</w:t>
          </w:r>
          <w:r w:rsidR="00BF2530">
            <w:t xml:space="preserve"> nedenfor</w:t>
          </w:r>
          <w:r w:rsidR="00251925">
            <w:t>.</w:t>
          </w:r>
          <w:r w:rsidR="00252323">
            <w:t xml:space="preserve"> En nærmere beskrivelse findes i selve budgetforliget som</w:t>
          </w:r>
          <w:r w:rsidR="008B48FF">
            <w:t xml:space="preserve"> også</w:t>
          </w:r>
          <w:r w:rsidR="00252323">
            <w:t xml:space="preserve"> er en del af bilagsmaterialet.</w:t>
          </w:r>
        </w:p>
        <w:p w:rsidR="008B48FF" w:rsidRDefault="008B48FF" w:rsidP="00065FDC"/>
        <w:p w:rsidR="008B48FF" w:rsidRDefault="008B48FF" w:rsidP="00065FDC">
          <w:r>
            <w:t>Konsekvenserne af budgetforliget er indarbejdet i budgetforslaget for 2021-2024</w:t>
          </w:r>
        </w:p>
        <w:p w:rsidR="00953BB4" w:rsidRPr="002C631D" w:rsidRDefault="00953BB4" w:rsidP="00953BB4">
          <w:pPr>
            <w:pStyle w:val="Typografi3"/>
            <w:numPr>
              <w:ilvl w:val="1"/>
              <w:numId w:val="22"/>
            </w:numPr>
            <w:jc w:val="both"/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lastRenderedPageBreak/>
            <w:t>Udvidelsesforslag</w:t>
          </w:r>
          <w:r w:rsidR="004875C5">
            <w:rPr>
              <w:rStyle w:val="Svaghenvisning"/>
              <w:smallCaps w:val="0"/>
              <w:color w:val="auto"/>
              <w:u w:val="none"/>
            </w:rPr>
            <w:t>, service</w:t>
          </w:r>
        </w:p>
        <w:p w:rsidR="009D504E" w:rsidRDefault="008D07DE" w:rsidP="00A409FC">
          <w:r>
            <w:t>I alt er</w:t>
          </w:r>
          <w:r w:rsidR="00173154">
            <w:t xml:space="preserve"> der</w:t>
          </w:r>
          <w:r w:rsidR="00953CBD">
            <w:t xml:space="preserve"> prioriteret</w:t>
          </w:r>
          <w:r w:rsidR="00173154">
            <w:t xml:space="preserve"> udvidelsesforslag for</w:t>
          </w:r>
          <w:r w:rsidR="00513C86">
            <w:t xml:space="preserve"> 11,8</w:t>
          </w:r>
          <w:r w:rsidR="00173154">
            <w:t xml:space="preserve"> mio. kr.</w:t>
          </w:r>
          <w:r w:rsidR="00513C86">
            <w:t xml:space="preserve"> i 2021</w:t>
          </w:r>
          <w:r w:rsidR="0000482E">
            <w:t xml:space="preserve"> når det gælder serviceudgifte</w:t>
          </w:r>
          <w:r w:rsidR="004875C5">
            <w:t>rne</w:t>
          </w:r>
          <w:r w:rsidR="006A7C3B">
            <w:t>, jf. tabel 1.</w:t>
          </w:r>
          <w:r w:rsidR="00BF2530">
            <w:t xml:space="preserve"> </w:t>
          </w:r>
          <w:r w:rsidR="000F57C4">
            <w:t>Forslagene</w:t>
          </w:r>
          <w:r w:rsidR="008B48FF">
            <w:t xml:space="preserve"> kommer alene</w:t>
          </w:r>
          <w:r w:rsidR="00BF2530">
            <w:t xml:space="preserve"> fra selve budgetkataloget</w:t>
          </w:r>
          <w:r w:rsidR="00513C86">
            <w:t>.</w:t>
          </w:r>
          <w:r w:rsidR="00BF2530">
            <w:t xml:space="preserve"> </w:t>
          </w:r>
          <w:r w:rsidR="00513C86">
            <w:t xml:space="preserve">Udvidelserne </w:t>
          </w:r>
          <w:r w:rsidR="00252323">
            <w:t xml:space="preserve">i kommunens serviceudgifter dækker over nye initiativer </w:t>
          </w:r>
          <w:r w:rsidR="008B48FF">
            <w:t>men også en fortsat udvikling af konkrete områder</w:t>
          </w:r>
          <w:r w:rsidR="00252323">
            <w:t>.</w:t>
          </w:r>
          <w:r w:rsidR="008B48FF">
            <w:t xml:space="preserve"> </w:t>
          </w:r>
        </w:p>
        <w:p w:rsidR="009D504E" w:rsidRDefault="009D504E" w:rsidP="00A409FC"/>
        <w:p w:rsidR="006A7C3B" w:rsidRDefault="008B48FF" w:rsidP="00A409FC">
          <w:r>
            <w:t>U</w:t>
          </w:r>
          <w:r w:rsidR="00352187">
            <w:t xml:space="preserve">dvidelsesforslagene </w:t>
          </w:r>
          <w:r>
            <w:t xml:space="preserve">har i de første tre år </w:t>
          </w:r>
          <w:r w:rsidR="00352187">
            <w:t xml:space="preserve">en </w:t>
          </w:r>
          <w:r>
            <w:t>nogenlunde ens</w:t>
          </w:r>
          <w:r w:rsidR="00352187">
            <w:t xml:space="preserve"> profil</w:t>
          </w:r>
          <w:r>
            <w:t>,</w:t>
          </w:r>
          <w:r w:rsidR="00352187">
            <w:t xml:space="preserve"> mens det i 2024 falder til at udgøre 9,8 mio. kr. Hovedårsagen til denne profil er at nogle af udvidelsesforslagene er indarbejdet med et 2-3 årigt perspektiv.</w:t>
          </w:r>
        </w:p>
        <w:p w:rsidR="00A409FC" w:rsidRDefault="00A409FC" w:rsidP="00A409FC"/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430"/>
            <w:gridCol w:w="802"/>
            <w:gridCol w:w="802"/>
            <w:gridCol w:w="802"/>
            <w:gridCol w:w="802"/>
          </w:tblGrid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Tabel 1</w:t>
                </w:r>
                <w:r w:rsidRPr="005B607F">
                  <w:rPr>
                    <w:rFonts w:cs="Arial"/>
                    <w:sz w:val="20"/>
                    <w:szCs w:val="20"/>
                  </w:rPr>
                  <w:t>, udvidelsesforslag</w:t>
                </w:r>
                <w:r w:rsidR="00CD21A8">
                  <w:rPr>
                    <w:rFonts w:cs="Arial"/>
                    <w:sz w:val="20"/>
                    <w:szCs w:val="20"/>
                  </w:rPr>
                  <w:t>, 1.000 kr.</w:t>
                </w:r>
                <w:r w:rsidRPr="005B607F">
                  <w:rPr>
                    <w:rFonts w:cs="Arial"/>
                    <w:sz w:val="20"/>
                    <w:szCs w:val="20"/>
                  </w:rPr>
                  <w:t xml:space="preserve"> (serviceudgifter)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352187" w:rsidRDefault="005B607F" w:rsidP="005B607F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2021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352187" w:rsidRDefault="005B607F" w:rsidP="005B607F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2022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352187" w:rsidRDefault="005B607F" w:rsidP="005B607F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2023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352187" w:rsidRDefault="005B607F" w:rsidP="005B607F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2024</w:t>
                </w:r>
              </w:p>
            </w:tc>
          </w:tr>
          <w:tr w:rsidR="005B607F" w:rsidRPr="005B607F" w:rsidTr="005B607F">
            <w:trPr>
              <w:trHeight w:val="510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Understøttelse af en mulig kommende boligsocial helhedsplan i Brøndby Strand 2021 - 2025 (BSU)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26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44</w:t>
                </w:r>
              </w:p>
            </w:tc>
          </w:tr>
          <w:tr w:rsidR="005B607F" w:rsidRPr="005B607F" w:rsidTr="005B607F">
            <w:trPr>
              <w:trHeight w:val="510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Understøttelse af en mulig kommende boligsocial helhedsplan i Brøndby Strand 2021 - 2025 (BØU)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274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466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466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466</w:t>
                </w:r>
              </w:p>
            </w:tc>
          </w:tr>
          <w:tr w:rsidR="005B607F" w:rsidRPr="005B607F" w:rsidTr="005B607F">
            <w:trPr>
              <w:trHeight w:val="510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Styrkelse af det pædagogisk arbejde via dokumentation og evaluering i et digitalt system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160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160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160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Taskforce skolevægring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1.250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Partnerskab med Ungdomsbyen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Idræt, leg og bevægelse i dagtilbuddene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Ressourcer til projekt Bevæg dig for livet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Drift af skolehaver på Dyregården Søholt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75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75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75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75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Tavlemøder / triagering af borgere i Hjemmeplejen / I Sikre Hænder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1.038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1.038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1.038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1.038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Styrkelse af diætistindsatsen i Social- og Sundhedsforvaltningen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322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322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322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322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Kommunal Hygiejnesygeplejerske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350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Behandling og støtte til børn og unge i misbrugsramte familier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Licens til den digitale platform 'Boblberg'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84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Forankring af en indsats om sunde og gode forhold i kommunens nyttehaver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825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825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825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510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Forlængelse af opnormering i Teknik- og Miljøforvaltningen - miljøsager i Kirkebjerg og Brøndby Strand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Ansættelse af projektmedarbejder i en 3-årig periode i IT- og Digitaliseringsafdelingen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600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IT-relaterede udgifter på socialområdet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1.000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IT-relaterede udgifter på børneområdet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2.500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Udvikling og implementering af en klima- og energiplan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800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Udviklingskonsulent til BKI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B607F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</w:tr>
          <w:tr w:rsidR="005B607F" w:rsidRPr="005B607F" w:rsidTr="005B607F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I alt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11.794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13.264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12.464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B607F" w:rsidRPr="005B607F" w:rsidRDefault="005B607F" w:rsidP="005B607F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B607F">
                  <w:rPr>
                    <w:rFonts w:cs="Arial"/>
                    <w:b/>
                    <w:bCs/>
                    <w:sz w:val="20"/>
                    <w:szCs w:val="20"/>
                  </w:rPr>
                  <w:t>9.839</w:t>
                </w:r>
              </w:p>
            </w:tc>
          </w:tr>
        </w:tbl>
        <w:p w:rsidR="003210CB" w:rsidRDefault="004875C5" w:rsidP="006A7C3B">
          <w:pPr>
            <w:pStyle w:val="Typografi3"/>
            <w:numPr>
              <w:ilvl w:val="1"/>
              <w:numId w:val="22"/>
            </w:numPr>
            <w:jc w:val="both"/>
          </w:pPr>
          <w:r>
            <w:rPr>
              <w:rStyle w:val="Svaghenvisning"/>
              <w:smallCaps w:val="0"/>
              <w:color w:val="auto"/>
              <w:u w:val="none"/>
            </w:rPr>
            <w:t>Udvidelsesforslag, ikke service</w:t>
          </w:r>
        </w:p>
        <w:p w:rsidR="004C1AA7" w:rsidRDefault="000842D7" w:rsidP="00953BB4">
          <w:r>
            <w:t xml:space="preserve">I alt </w:t>
          </w:r>
          <w:r w:rsidR="0032740D">
            <w:t>udgør udvidelser som ikke omhandler serviceudgifter 0,5 mio. kr.</w:t>
          </w:r>
          <w:r>
            <w:t xml:space="preserve"> </w:t>
          </w:r>
        </w:p>
        <w:p w:rsidR="0032740D" w:rsidRDefault="0032740D" w:rsidP="00953BB4"/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753"/>
            <w:gridCol w:w="722"/>
            <w:gridCol w:w="721"/>
            <w:gridCol w:w="721"/>
            <w:gridCol w:w="721"/>
          </w:tblGrid>
          <w:tr w:rsidR="00513C86" w:rsidRPr="00513C86" w:rsidTr="00513C86">
            <w:trPr>
              <w:trHeight w:val="255"/>
            </w:trPr>
            <w:tc>
              <w:tcPr>
                <w:tcW w:w="350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Tabel 1A</w:t>
                </w:r>
                <w:r w:rsidRPr="00513C86">
                  <w:rPr>
                    <w:rFonts w:cs="Arial"/>
                    <w:sz w:val="20"/>
                    <w:szCs w:val="20"/>
                  </w:rPr>
                  <w:t>, udvidelsesforslag</w:t>
                </w:r>
                <w:r w:rsidR="00CD21A8">
                  <w:rPr>
                    <w:rFonts w:cs="Arial"/>
                    <w:sz w:val="20"/>
                    <w:szCs w:val="20"/>
                  </w:rPr>
                  <w:t>, 1.000 kr.</w:t>
                </w:r>
                <w:r w:rsidRPr="00513C86">
                  <w:rPr>
                    <w:rFonts w:cs="Arial"/>
                    <w:sz w:val="20"/>
                    <w:szCs w:val="20"/>
                  </w:rPr>
                  <w:t xml:space="preserve"> (ikke serviceudgifter)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352187" w:rsidRDefault="00513C86" w:rsidP="00513C86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2021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352187" w:rsidRDefault="00513C86" w:rsidP="00513C86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2022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352187" w:rsidRDefault="00513C86" w:rsidP="00513C86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2023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352187" w:rsidRDefault="00513C86" w:rsidP="00513C86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2024</w:t>
                </w:r>
              </w:p>
            </w:tc>
          </w:tr>
          <w:tr w:rsidR="00513C86" w:rsidRPr="00513C86" w:rsidTr="00513C86">
            <w:trPr>
              <w:trHeight w:val="255"/>
            </w:trPr>
            <w:tc>
              <w:tcPr>
                <w:tcW w:w="350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sz w:val="20"/>
                    <w:szCs w:val="20"/>
                  </w:rPr>
                  <w:t>Virksomhedsmentor til udvidelse af samarbejdet med ældrecentrene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513C86">
                  <w:rPr>
                    <w:rFonts w:cs="Arial"/>
                    <w:sz w:val="20"/>
                    <w:szCs w:val="20"/>
                  </w:rPr>
                  <w:t>475</w:t>
                </w:r>
              </w:p>
            </w:tc>
          </w:tr>
          <w:tr w:rsidR="00513C86" w:rsidRPr="00513C86" w:rsidTr="00513C86">
            <w:trPr>
              <w:trHeight w:val="255"/>
            </w:trPr>
            <w:tc>
              <w:tcPr>
                <w:tcW w:w="350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I alt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475</w:t>
                </w:r>
              </w:p>
            </w:tc>
            <w:tc>
              <w:tcPr>
                <w:tcW w:w="3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3C86" w:rsidRPr="00513C86" w:rsidRDefault="00513C86" w:rsidP="00513C86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513C86">
                  <w:rPr>
                    <w:rFonts w:cs="Arial"/>
                    <w:b/>
                    <w:bCs/>
                    <w:sz w:val="20"/>
                    <w:szCs w:val="20"/>
                  </w:rPr>
                  <w:t>475</w:t>
                </w:r>
              </w:p>
            </w:tc>
          </w:tr>
        </w:tbl>
        <w:p w:rsidR="006A7C3B" w:rsidRDefault="00953BB4" w:rsidP="006A7C3B">
          <w:pPr>
            <w:pStyle w:val="Typografi3"/>
            <w:numPr>
              <w:ilvl w:val="1"/>
              <w:numId w:val="22"/>
            </w:numPr>
            <w:jc w:val="both"/>
          </w:pPr>
          <w:r>
            <w:rPr>
              <w:rStyle w:val="Svaghenvisning"/>
              <w:smallCaps w:val="0"/>
              <w:color w:val="auto"/>
              <w:u w:val="none"/>
            </w:rPr>
            <w:t>Reduktionsforslag</w:t>
          </w:r>
          <w:r w:rsidR="004664C8">
            <w:rPr>
              <w:rStyle w:val="Svaghenvisning"/>
              <w:smallCaps w:val="0"/>
              <w:color w:val="auto"/>
              <w:u w:val="none"/>
            </w:rPr>
            <w:t>, serviceudgifter</w:t>
          </w:r>
        </w:p>
        <w:p w:rsidR="006A7C3B" w:rsidRDefault="00462B45" w:rsidP="003210CB">
          <w:r>
            <w:t>Reduktionsforslagene udgør</w:t>
          </w:r>
          <w:r w:rsidR="0032740D">
            <w:t xml:space="preserve"> -4,8</w:t>
          </w:r>
          <w:r w:rsidR="006A7C3B">
            <w:t xml:space="preserve"> mio. k</w:t>
          </w:r>
          <w:r w:rsidR="0032740D">
            <w:t>r. i 2021</w:t>
          </w:r>
          <w:r>
            <w:t>. Reduktionerne i overslagsårene er også vist</w:t>
          </w:r>
          <w:r w:rsidR="00EF1320">
            <w:t xml:space="preserve"> i tabel 3 nedenfor</w:t>
          </w:r>
          <w:r w:rsidR="006A7C3B">
            <w:t>.</w:t>
          </w:r>
        </w:p>
        <w:p w:rsidR="003210CB" w:rsidRDefault="003210CB" w:rsidP="003210CB"/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430"/>
            <w:gridCol w:w="802"/>
            <w:gridCol w:w="802"/>
            <w:gridCol w:w="802"/>
            <w:gridCol w:w="802"/>
          </w:tblGrid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Tabel 2</w:t>
                </w:r>
                <w:r w:rsidRPr="0032740D">
                  <w:rPr>
                    <w:rFonts w:cs="Arial"/>
                    <w:sz w:val="20"/>
                    <w:szCs w:val="20"/>
                  </w:rPr>
                  <w:t>, reduktionsforslag</w:t>
                </w:r>
                <w:r w:rsidR="00CD21A8">
                  <w:rPr>
                    <w:rFonts w:cs="Arial"/>
                    <w:sz w:val="20"/>
                    <w:szCs w:val="20"/>
                  </w:rPr>
                  <w:t>, 1.000 kr. (serviceudgifter)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52187" w:rsidRDefault="0032740D" w:rsidP="0032740D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2021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52187" w:rsidRDefault="0032740D" w:rsidP="0032740D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2022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52187" w:rsidRDefault="0032740D" w:rsidP="0032740D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2023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52187" w:rsidRDefault="0032740D" w:rsidP="0032740D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 w:rsidRPr="00352187">
                  <w:rPr>
                    <w:rFonts w:cs="Arial"/>
                    <w:b/>
                    <w:sz w:val="20"/>
                    <w:szCs w:val="20"/>
                  </w:rPr>
                  <w:t>2024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 xml:space="preserve">Forøgelse af den normerede klassekvotient 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-3.000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-4.500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-4.500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Nedlæggelse af daginstitution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-650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-1.300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-1.300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-1.300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Reduktion i antal pladser i daghjemmet Æblehaven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-177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-265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-265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-265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Rammebesparelse - tiltag i forlængelse af budgetanalyse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-1.500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-2.000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-2.500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Reduktion af budget til implementering af Sundhedsaftalen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 xml:space="preserve">Reduktion af budget til Veje, grønne områder og fælles bilpark.  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 xml:space="preserve">Reduktion af Teknik- og Miljøforvaltningens budget til løn mv. 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-100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Reduktion af Bygningsdrift - Rengøring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-320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-320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-320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-320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Reduktion af Økonomi- og ressourceforvaltningens budget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-210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-210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-210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32740D">
                  <w:rPr>
                    <w:rFonts w:cs="Arial"/>
                    <w:sz w:val="20"/>
                    <w:szCs w:val="20"/>
                  </w:rPr>
                  <w:t>-210</w:t>
                </w:r>
              </w:p>
            </w:tc>
          </w:tr>
          <w:tr w:rsidR="0032740D" w:rsidRPr="0032740D" w:rsidTr="0032740D">
            <w:trPr>
              <w:trHeight w:val="255"/>
            </w:trPr>
            <w:tc>
              <w:tcPr>
                <w:tcW w:w="33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I alt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-4.757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-6.795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-8.795</w:t>
                </w:r>
              </w:p>
            </w:tc>
            <w:tc>
              <w:tcPr>
                <w:tcW w:w="41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2740D" w:rsidRPr="0032740D" w:rsidRDefault="0032740D" w:rsidP="0032740D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32740D">
                  <w:rPr>
                    <w:rFonts w:cs="Arial"/>
                    <w:b/>
                    <w:bCs/>
                    <w:sz w:val="20"/>
                    <w:szCs w:val="20"/>
                  </w:rPr>
                  <w:t>-9.295</w:t>
                </w:r>
              </w:p>
            </w:tc>
          </w:tr>
        </w:tbl>
        <w:p w:rsidR="009D504E" w:rsidRDefault="009D504E" w:rsidP="00D747F1">
          <w:pPr>
            <w:pStyle w:val="NormalWeb"/>
            <w:rPr>
              <w:rFonts w:ascii="Arial" w:hAnsi="Arial"/>
              <w:sz w:val="22"/>
            </w:rPr>
          </w:pPr>
        </w:p>
        <w:p w:rsidR="0032740D" w:rsidRDefault="0032740D" w:rsidP="00D747F1">
          <w:pPr>
            <w:pStyle w:val="NormalWeb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Reduktionsforslagene har en stigende profil fordi den fulde effekt på nogle af reduktionsforslagene først viser sig efter ”år et”. </w:t>
          </w:r>
          <w:r w:rsidR="00E315FC">
            <w:rPr>
              <w:rFonts w:ascii="Arial" w:hAnsi="Arial"/>
              <w:sz w:val="22"/>
            </w:rPr>
            <w:t>Der</w:t>
          </w:r>
          <w:r w:rsidR="00A71E67">
            <w:rPr>
              <w:rFonts w:ascii="Arial" w:hAnsi="Arial"/>
              <w:sz w:val="22"/>
            </w:rPr>
            <w:t xml:space="preserve"> </w:t>
          </w:r>
          <w:r w:rsidR="00E315FC">
            <w:rPr>
              <w:rFonts w:ascii="Arial" w:hAnsi="Arial"/>
              <w:sz w:val="22"/>
            </w:rPr>
            <w:t xml:space="preserve">sker </w:t>
          </w:r>
          <w:r w:rsidR="00A71E67">
            <w:rPr>
              <w:rFonts w:ascii="Arial" w:hAnsi="Arial"/>
              <w:sz w:val="22"/>
            </w:rPr>
            <w:t>stort set</w:t>
          </w:r>
          <w:r w:rsidR="00E315FC">
            <w:rPr>
              <w:rFonts w:ascii="Arial" w:hAnsi="Arial"/>
              <w:sz w:val="22"/>
            </w:rPr>
            <w:t xml:space="preserve"> en</w:t>
          </w:r>
          <w:r w:rsidR="00A71E67">
            <w:rPr>
              <w:rFonts w:ascii="Arial" w:hAnsi="Arial"/>
              <w:sz w:val="22"/>
            </w:rPr>
            <w:t xml:space="preserve"> </w:t>
          </w:r>
          <w:r w:rsidR="00E315FC">
            <w:rPr>
              <w:rFonts w:ascii="Arial" w:hAnsi="Arial"/>
              <w:sz w:val="22"/>
            </w:rPr>
            <w:t>fordobling frem mod</w:t>
          </w:r>
          <w:r w:rsidR="00A71E67">
            <w:rPr>
              <w:rFonts w:ascii="Arial" w:hAnsi="Arial"/>
              <w:sz w:val="22"/>
            </w:rPr>
            <w:t xml:space="preserve"> 2024.</w:t>
          </w:r>
        </w:p>
        <w:p w:rsidR="0099396E" w:rsidRPr="00EF1320" w:rsidRDefault="0032740D" w:rsidP="00EF1320">
          <w:pPr>
            <w:pStyle w:val="NormalWeb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Alle reduktionsforslag er</w:t>
          </w:r>
          <w:r w:rsidR="00EF1320">
            <w:rPr>
              <w:rFonts w:ascii="Arial" w:hAnsi="Arial"/>
              <w:sz w:val="22"/>
            </w:rPr>
            <w:t xml:space="preserve"> prioriteret fra budgetkataloget</w:t>
          </w:r>
          <w:r w:rsidR="005C472D">
            <w:rPr>
              <w:rFonts w:ascii="Arial" w:hAnsi="Arial"/>
              <w:sz w:val="22"/>
            </w:rPr>
            <w:t xml:space="preserve">. </w:t>
          </w:r>
        </w:p>
        <w:p w:rsidR="0099396E" w:rsidRPr="00E66E3D" w:rsidRDefault="008B48FF" w:rsidP="0099396E">
          <w:pPr>
            <w:pStyle w:val="Typografi3"/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t>Serviceramme 2021</w:t>
          </w:r>
          <w:r w:rsidR="00AC0AC7">
            <w:rPr>
              <w:rStyle w:val="Svaghenvisning"/>
              <w:smallCaps w:val="0"/>
              <w:color w:val="auto"/>
              <w:u w:val="none"/>
            </w:rPr>
            <w:t xml:space="preserve"> </w:t>
          </w:r>
        </w:p>
        <w:p w:rsidR="00CF0C93" w:rsidRDefault="005F5EB1" w:rsidP="00656E44">
          <w:r>
            <w:t>Ram</w:t>
          </w:r>
          <w:r w:rsidR="00AC1A8C">
            <w:t>men for serviceudgifterne i 2021</w:t>
          </w:r>
          <w:r>
            <w:t xml:space="preserve"> er nu på plads.</w:t>
          </w:r>
          <w:r w:rsidR="00CF0C93">
            <w:t xml:space="preserve"> Den tekniske beregning af ko</w:t>
          </w:r>
          <w:r w:rsidR="00AC1A8C">
            <w:t>mmunens serviceramme udgør 2.047.000</w:t>
          </w:r>
          <w:r w:rsidR="008B48FF">
            <w:t xml:space="preserve"> t.kr og er også det niveau som er indmeldt til KL.</w:t>
          </w:r>
        </w:p>
        <w:p w:rsidR="00CF0C93" w:rsidRDefault="00CF0C93" w:rsidP="00656E44"/>
        <w:p w:rsidR="007C09E1" w:rsidRDefault="005F5EB1" w:rsidP="00656E44">
          <w:r>
            <w:t>Siden 1. behandlingen er der indarbejdet</w:t>
          </w:r>
          <w:r w:rsidRPr="005F5EB1">
            <w:t xml:space="preserve"> </w:t>
          </w:r>
          <w:r>
            <w:t>alle</w:t>
          </w:r>
          <w:r w:rsidR="00864DD5">
            <w:t xml:space="preserve"> de prioriterede</w:t>
          </w:r>
          <w:r>
            <w:t xml:space="preserve"> udvidelses- og reduktionsforslag. Puljen til politisk prioritering er dermed anvendt og nul</w:t>
          </w:r>
          <w:r w:rsidR="00864DD5">
            <w:t xml:space="preserve">stilles derfor. Alt i alt </w:t>
          </w:r>
          <w:r w:rsidR="00AC1A8C">
            <w:t>er der således</w:t>
          </w:r>
          <w:r>
            <w:t xml:space="preserve"> et </w:t>
          </w:r>
          <w:r w:rsidR="00864DD5">
            <w:t xml:space="preserve">korrigeret </w:t>
          </w:r>
          <w:r>
            <w:t xml:space="preserve">budgetforslag som </w:t>
          </w:r>
          <w:r w:rsidR="00AC1A8C">
            <w:t>er på linje med den aftalte ramme for serviceudgifter</w:t>
          </w:r>
          <w:r>
            <w:t>.</w:t>
          </w:r>
          <w:r w:rsidR="00AC1A8C">
            <w:t xml:space="preserve"> </w:t>
          </w:r>
        </w:p>
        <w:p w:rsidR="00B60C95" w:rsidRDefault="00B60C95" w:rsidP="008B48FF"/>
        <w:p w:rsidR="008B48FF" w:rsidRDefault="00B60C95" w:rsidP="008B48FF">
          <w:r>
            <w:t>Den endelige tilpasning af budgetforslaget vil blive finansieret af servicerammepuljen</w:t>
          </w:r>
          <w:r w:rsidR="008B48FF">
            <w:t xml:space="preserve">. For 2021 vil servicerammepuljen </w:t>
          </w:r>
          <w:r>
            <w:t xml:space="preserve">forventeligt </w:t>
          </w:r>
          <w:r w:rsidR="008B48FF">
            <w:t>udgøre</w:t>
          </w:r>
          <w:r>
            <w:t xml:space="preserve"> ca.</w:t>
          </w:r>
          <w:r w:rsidR="008B48FF">
            <w:t xml:space="preserve"> 14,5 mio. kr. </w:t>
          </w:r>
        </w:p>
        <w:p w:rsidR="007C09E1" w:rsidRDefault="007C09E1" w:rsidP="00656E44"/>
        <w:p w:rsidR="00AC1A8C" w:rsidRDefault="00AC1A8C" w:rsidP="00656E44">
          <w:r>
            <w:t>Brøndby Kommune har dermed fuldt ud levet op til de krav der har været om niveauet for serviceudgifter.</w:t>
          </w:r>
        </w:p>
        <w:p w:rsidR="00AC1A8C" w:rsidRDefault="00AC1A8C" w:rsidP="00656E44"/>
        <w:p w:rsidR="00085FEA" w:rsidRDefault="00AC1A8C" w:rsidP="00656E44">
          <w:r>
            <w:t>Udviklingen i kommunens budgetforslag</w:t>
          </w:r>
          <w:r w:rsidR="005F5EB1">
            <w:t xml:space="preserve"> er illustreret i tabel 5:</w:t>
          </w:r>
        </w:p>
        <w:p w:rsidR="00043DDF" w:rsidRDefault="00043DDF" w:rsidP="00656E44"/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090"/>
            <w:gridCol w:w="2548"/>
          </w:tblGrid>
          <w:tr w:rsidR="00043DDF" w:rsidRPr="00043DDF" w:rsidTr="00043DDF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b/>
                    <w:bCs/>
                    <w:sz w:val="20"/>
                    <w:szCs w:val="20"/>
                  </w:rPr>
                  <w:t>Tabel 5</w:t>
                </w:r>
                <w:r w:rsidRPr="00043DDF">
                  <w:rPr>
                    <w:rFonts w:cs="Arial"/>
                    <w:sz w:val="20"/>
                    <w:szCs w:val="20"/>
                  </w:rPr>
                  <w:t>, udviklingen siden BN3</w:t>
                </w:r>
                <w:r w:rsidR="00CD21A8">
                  <w:rPr>
                    <w:rFonts w:cs="Arial"/>
                    <w:sz w:val="20"/>
                    <w:szCs w:val="20"/>
                  </w:rPr>
                  <w:t>, i 1.000 kr.</w:t>
                </w:r>
              </w:p>
            </w:tc>
            <w:tc>
              <w:tcPr>
                <w:tcW w:w="132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 </w:t>
                </w:r>
              </w:p>
            </w:tc>
          </w:tr>
          <w:tr w:rsidR="00043DDF" w:rsidRPr="00043DDF" w:rsidTr="00043DDF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Korrigeret Budgetforslag BN 3</w:t>
                </w:r>
              </w:p>
            </w:tc>
            <w:tc>
              <w:tcPr>
                <w:tcW w:w="13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7C09E1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2.050.308</w:t>
                </w:r>
              </w:p>
            </w:tc>
          </w:tr>
          <w:tr w:rsidR="00043DDF" w:rsidRPr="00043DDF" w:rsidTr="00043DDF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Udvidelser</w:t>
                </w:r>
              </w:p>
            </w:tc>
            <w:tc>
              <w:tcPr>
                <w:tcW w:w="13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7C09E1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11.800</w:t>
                </w:r>
              </w:p>
            </w:tc>
          </w:tr>
          <w:tr w:rsidR="00043DDF" w:rsidRPr="00043DDF" w:rsidTr="00043DDF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Reduktion</w:t>
                </w:r>
              </w:p>
            </w:tc>
            <w:tc>
              <w:tcPr>
                <w:tcW w:w="13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7C09E1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-4</w:t>
                </w:r>
                <w:r w:rsidR="00043DDF" w:rsidRPr="00043DDF">
                  <w:rPr>
                    <w:rFonts w:cs="Arial"/>
                    <w:sz w:val="20"/>
                    <w:szCs w:val="20"/>
                  </w:rPr>
                  <w:t>.700</w:t>
                </w:r>
              </w:p>
            </w:tc>
          </w:tr>
          <w:tr w:rsidR="00043DDF" w:rsidRPr="00043DDF" w:rsidTr="00043DDF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Nulstilling af pulje til politisk prioritering</w:t>
                </w:r>
              </w:p>
            </w:tc>
            <w:tc>
              <w:tcPr>
                <w:tcW w:w="13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7C09E1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-10.000</w:t>
                </w:r>
              </w:p>
            </w:tc>
          </w:tr>
          <w:tr w:rsidR="00043DDF" w:rsidRPr="00043DDF" w:rsidTr="00CF0C93">
            <w:trPr>
              <w:trHeight w:val="255"/>
            </w:trPr>
            <w:tc>
              <w:tcPr>
                <w:tcW w:w="3678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043DDF" w:rsidP="00043DDF">
                <w:pPr>
                  <w:rPr>
                    <w:rFonts w:cs="Arial"/>
                    <w:sz w:val="20"/>
                    <w:szCs w:val="20"/>
                  </w:rPr>
                </w:pPr>
                <w:r w:rsidRPr="00043DDF">
                  <w:rPr>
                    <w:rFonts w:cs="Arial"/>
                    <w:sz w:val="20"/>
                    <w:szCs w:val="20"/>
                  </w:rPr>
                  <w:t>Korrigeret budgetforslag 2020</w:t>
                </w:r>
              </w:p>
            </w:tc>
            <w:tc>
              <w:tcPr>
                <w:tcW w:w="132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043DDF" w:rsidRDefault="007C09E1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2.047.408</w:t>
                </w:r>
              </w:p>
            </w:tc>
          </w:tr>
          <w:tr w:rsidR="00043DDF" w:rsidRPr="00043DDF" w:rsidTr="00CF0C93">
            <w:trPr>
              <w:trHeight w:val="255"/>
            </w:trPr>
            <w:tc>
              <w:tcPr>
                <w:tcW w:w="367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CF0C93" w:rsidRDefault="007C09E1" w:rsidP="007C09E1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Afvigelse som finansieres af servicerammepuljen</w:t>
                </w:r>
                <w:r w:rsidR="00043DDF" w:rsidRPr="00CF0C93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3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DDF" w:rsidRPr="00CF0C93" w:rsidRDefault="00043DDF" w:rsidP="00043DDF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F0C93">
                  <w:rPr>
                    <w:rFonts w:cs="Arial"/>
                    <w:sz w:val="20"/>
                    <w:szCs w:val="20"/>
                  </w:rPr>
                  <w:t xml:space="preserve"> </w:t>
                </w:r>
                <w:r w:rsidR="007C09E1">
                  <w:rPr>
                    <w:rFonts w:cs="Arial"/>
                    <w:sz w:val="20"/>
                    <w:szCs w:val="20"/>
                  </w:rPr>
                  <w:t xml:space="preserve">         -400</w:t>
                </w:r>
                <w:r w:rsidRPr="00CF0C93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tr>
          <w:tr w:rsidR="00CF0C93" w:rsidRPr="00043DDF" w:rsidTr="00CF0C93">
            <w:trPr>
              <w:trHeight w:val="255"/>
            </w:trPr>
            <w:tc>
              <w:tcPr>
                <w:tcW w:w="367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  <w:p w:rsidR="00CF0C93" w:rsidRPr="00043DDF" w:rsidRDefault="00CF0C93" w:rsidP="00043DDF">
                <w:pPr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Korrigeret budgetforslag til 2. behandlingen inkl. restbeløb</w:t>
                </w:r>
              </w:p>
            </w:tc>
            <w:tc>
              <w:tcPr>
                <w:tcW w:w="13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  <w:p w:rsidR="00CF0C93" w:rsidRPr="00CF0C93" w:rsidRDefault="007C09E1" w:rsidP="00043DDF">
                <w:pPr>
                  <w:jc w:val="right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2.047.000</w:t>
                </w:r>
              </w:p>
            </w:tc>
          </w:tr>
        </w:tbl>
        <w:p w:rsidR="003B1EAC" w:rsidRPr="00CF0C93" w:rsidRDefault="00343405" w:rsidP="003B1EAC">
          <w:r>
            <w:t xml:space="preserve"> </w:t>
          </w:r>
        </w:p>
        <w:p w:rsidR="00423AD3" w:rsidRPr="00423AD3" w:rsidRDefault="00024CFA" w:rsidP="00423AD3">
          <w:pPr>
            <w:pStyle w:val="Typografi3"/>
            <w:numPr>
              <w:ilvl w:val="1"/>
              <w:numId w:val="22"/>
            </w:numPr>
            <w:jc w:val="both"/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t xml:space="preserve">Mellemkommunale forhandlinger </w:t>
          </w:r>
          <w:r w:rsidR="000C776E">
            <w:rPr>
              <w:rStyle w:val="Svaghenvisning"/>
              <w:smallCaps w:val="0"/>
              <w:color w:val="auto"/>
              <w:u w:val="none"/>
            </w:rPr>
            <w:t>–</w:t>
          </w:r>
          <w:r>
            <w:rPr>
              <w:rStyle w:val="Svaghenvisning"/>
              <w:smallCaps w:val="0"/>
              <w:color w:val="auto"/>
              <w:u w:val="none"/>
            </w:rPr>
            <w:t xml:space="preserve"> service</w:t>
          </w:r>
          <w:r w:rsidR="000C776E">
            <w:rPr>
              <w:rStyle w:val="Svaghenvisning"/>
              <w:smallCaps w:val="0"/>
              <w:color w:val="auto"/>
              <w:u w:val="none"/>
            </w:rPr>
            <w:t xml:space="preserve"> og anlæg</w:t>
          </w:r>
        </w:p>
        <w:p w:rsidR="007C09E1" w:rsidRDefault="000C776E" w:rsidP="0077013B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Der har været hård kamp mellem kommunerne om udvidelser af både service- og anlægsudgifterne. </w:t>
          </w:r>
          <w:r w:rsidR="00024CFA">
            <w:rPr>
              <w:rFonts w:cs="Arial"/>
              <w:szCs w:val="22"/>
            </w:rPr>
            <w:t xml:space="preserve">Hensigten om at forøge </w:t>
          </w:r>
          <w:r>
            <w:rPr>
              <w:rFonts w:cs="Arial"/>
              <w:szCs w:val="22"/>
            </w:rPr>
            <w:t>kommunens serviceramme</w:t>
          </w:r>
          <w:r w:rsidR="00024CFA">
            <w:rPr>
              <w:rFonts w:cs="Arial"/>
              <w:szCs w:val="22"/>
            </w:rPr>
            <w:t xml:space="preserve"> med yderligere 10 mio. kr. i de mellemkommunale forhandlinger blev ikke aktuel</w:t>
          </w:r>
          <w:r w:rsidR="00DF1450">
            <w:rPr>
              <w:rFonts w:cs="Arial"/>
              <w:szCs w:val="22"/>
            </w:rPr>
            <w:t>.</w:t>
          </w:r>
          <w:r w:rsidR="00024CFA">
            <w:rPr>
              <w:rFonts w:cs="Arial"/>
              <w:szCs w:val="22"/>
            </w:rPr>
            <w:t xml:space="preserve"> </w:t>
          </w:r>
          <w:r>
            <w:rPr>
              <w:rFonts w:cs="Arial"/>
              <w:szCs w:val="22"/>
            </w:rPr>
            <w:t xml:space="preserve">Dermed har </w:t>
          </w:r>
          <w:r w:rsidRPr="000C776E">
            <w:rPr>
              <w:rFonts w:cs="Arial"/>
              <w:szCs w:val="22"/>
            </w:rPr>
            <w:t>Brøndby Kommune</w:t>
          </w:r>
          <w:r>
            <w:rPr>
              <w:rFonts w:cs="Arial"/>
              <w:szCs w:val="22"/>
            </w:rPr>
            <w:t xml:space="preserve"> alene opjusteret sine serviceudgifter med det aftalte løft fra Økonomiaftalen for 2021. Det svarer til en vækst (løft) på</w:t>
          </w:r>
          <w:r w:rsidR="00CD21A8">
            <w:rPr>
              <w:rFonts w:cs="Arial"/>
              <w:szCs w:val="22"/>
            </w:rPr>
            <w:t xml:space="preserve"> rundt regnet</w:t>
          </w:r>
          <w:r>
            <w:rPr>
              <w:rFonts w:cs="Arial"/>
              <w:szCs w:val="22"/>
            </w:rPr>
            <w:t xml:space="preserve"> 0,6 pct.</w:t>
          </w:r>
        </w:p>
        <w:p w:rsidR="007C09E1" w:rsidRDefault="007C09E1" w:rsidP="0077013B">
          <w:pPr>
            <w:rPr>
              <w:rFonts w:cs="Arial"/>
              <w:szCs w:val="22"/>
            </w:rPr>
          </w:pPr>
        </w:p>
        <w:p w:rsidR="00423AD3" w:rsidRDefault="007C09E1" w:rsidP="0077013B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En af hovedårsagerne </w:t>
          </w:r>
          <w:r w:rsidR="000C776E">
            <w:rPr>
              <w:rFonts w:cs="Arial"/>
              <w:szCs w:val="22"/>
            </w:rPr>
            <w:t xml:space="preserve">til de ”hårde” kampe </w:t>
          </w:r>
          <w:r>
            <w:rPr>
              <w:rFonts w:cs="Arial"/>
              <w:szCs w:val="22"/>
            </w:rPr>
            <w:t>skal findes i at flere kommuner</w:t>
          </w:r>
          <w:r w:rsidR="00224D53">
            <w:rPr>
              <w:rFonts w:cs="Arial"/>
              <w:szCs w:val="22"/>
            </w:rPr>
            <w:t xml:space="preserve"> med den nye udligningsreform </w:t>
          </w:r>
          <w:r>
            <w:rPr>
              <w:rFonts w:cs="Arial"/>
              <w:szCs w:val="22"/>
            </w:rPr>
            <w:t xml:space="preserve">har </w:t>
          </w:r>
          <w:r w:rsidR="000C776E">
            <w:rPr>
              <w:rFonts w:cs="Arial"/>
              <w:szCs w:val="22"/>
            </w:rPr>
            <w:t>fået et mere solidt</w:t>
          </w:r>
          <w:r w:rsidR="00224D53">
            <w:rPr>
              <w:rFonts w:cs="Arial"/>
              <w:szCs w:val="22"/>
            </w:rPr>
            <w:t xml:space="preserve"> indtægtsgrundlag og har derfor mulighed for at finansiere </w:t>
          </w:r>
          <w:r w:rsidR="00D93EC4">
            <w:rPr>
              <w:rFonts w:cs="Arial"/>
              <w:szCs w:val="22"/>
            </w:rPr>
            <w:t xml:space="preserve">budgetter med højere serviceudgifter og/eller anlægsudgifter. </w:t>
          </w:r>
          <w:r w:rsidR="000C776E">
            <w:rPr>
              <w:rFonts w:cs="Arial"/>
              <w:szCs w:val="22"/>
            </w:rPr>
            <w:t>I forhold til anlægsudgifterne så er forventningen stadig et niveau på 162,0 mio. kr.</w:t>
          </w:r>
        </w:p>
        <w:p w:rsidR="00F373DD" w:rsidRPr="00216A3A" w:rsidRDefault="00065FDC" w:rsidP="00E66E3D">
          <w:pPr>
            <w:pStyle w:val="Typografi3"/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t>Kommunens indtægtsgrundlag (tilskud, skatter og udligning)</w:t>
          </w:r>
        </w:p>
        <w:p w:rsidR="00CD21A8" w:rsidRDefault="003B27A2" w:rsidP="002C631D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Kommunens indtægtsgrundlag er </w:t>
          </w:r>
          <w:r w:rsidR="00FF56D1">
            <w:rPr>
              <w:rFonts w:cs="Arial"/>
              <w:szCs w:val="22"/>
            </w:rPr>
            <w:t>i overslagsårene</w:t>
          </w:r>
          <w:r w:rsidR="00CD21A8">
            <w:rPr>
              <w:rFonts w:cs="Arial"/>
              <w:szCs w:val="22"/>
            </w:rPr>
            <w:t xml:space="preserve"> </w:t>
          </w:r>
          <w:r>
            <w:rPr>
              <w:rFonts w:cs="Arial"/>
              <w:szCs w:val="22"/>
            </w:rPr>
            <w:t xml:space="preserve">blevet </w:t>
          </w:r>
          <w:r w:rsidR="00F87169">
            <w:rPr>
              <w:rFonts w:cs="Arial"/>
              <w:szCs w:val="22"/>
            </w:rPr>
            <w:t>nedjusteret med 1,6</w:t>
          </w:r>
          <w:r>
            <w:rPr>
              <w:rFonts w:cs="Arial"/>
              <w:szCs w:val="22"/>
            </w:rPr>
            <w:t xml:space="preserve"> mio. kr.</w:t>
          </w:r>
          <w:r w:rsidR="00FF56D1">
            <w:rPr>
              <w:rFonts w:cs="Arial"/>
              <w:szCs w:val="22"/>
            </w:rPr>
            <w:t xml:space="preserve"> i 2022 stigende til 4,6</w:t>
          </w:r>
          <w:r w:rsidR="007C09E1">
            <w:rPr>
              <w:rFonts w:cs="Arial"/>
              <w:szCs w:val="22"/>
            </w:rPr>
            <w:t xml:space="preserve"> mio. kr. i 2024</w:t>
          </w:r>
          <w:r w:rsidR="00D93EC4">
            <w:rPr>
              <w:rFonts w:cs="Arial"/>
              <w:szCs w:val="22"/>
            </w:rPr>
            <w:t xml:space="preserve">. </w:t>
          </w:r>
        </w:p>
        <w:p w:rsidR="00CD21A8" w:rsidRDefault="00CD21A8" w:rsidP="002C631D">
          <w:pPr>
            <w:rPr>
              <w:rFonts w:cs="Arial"/>
              <w:szCs w:val="22"/>
            </w:rPr>
          </w:pPr>
        </w:p>
        <w:p w:rsidR="00E76394" w:rsidRDefault="00D93EC4" w:rsidP="002C631D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Nedjusteringen skyldes </w:t>
          </w:r>
          <w:r w:rsidR="00FF56D1">
            <w:rPr>
              <w:rFonts w:cs="Arial"/>
              <w:szCs w:val="22"/>
            </w:rPr>
            <w:t>dels at</w:t>
          </w:r>
          <w:r>
            <w:rPr>
              <w:rFonts w:cs="Arial"/>
              <w:szCs w:val="22"/>
            </w:rPr>
            <w:t xml:space="preserve"> to af de tilskud som er med i udligningsreformen ikke skal pris- og lønfremskrives</w:t>
          </w:r>
          <w:r w:rsidR="00FF56D1">
            <w:rPr>
              <w:rFonts w:cs="Arial"/>
              <w:szCs w:val="22"/>
            </w:rPr>
            <w:t>, dels en marginal justering af udskrivningsgrundlaget</w:t>
          </w:r>
          <w:r>
            <w:rPr>
              <w:rFonts w:cs="Arial"/>
              <w:szCs w:val="22"/>
            </w:rPr>
            <w:t xml:space="preserve">. </w:t>
          </w:r>
          <w:r w:rsidR="00FF56D1">
            <w:rPr>
              <w:rFonts w:cs="Arial"/>
              <w:szCs w:val="22"/>
            </w:rPr>
            <w:t>Tilskudsmodellen er tilrettet</w:t>
          </w:r>
          <w:r>
            <w:rPr>
              <w:rFonts w:cs="Arial"/>
              <w:szCs w:val="22"/>
            </w:rPr>
            <w:t xml:space="preserve"> og indtægtsgrundlaget er således fuldt ud opdateret.</w:t>
          </w:r>
          <w:r w:rsidR="003B27A2">
            <w:rPr>
              <w:rFonts w:cs="Arial"/>
              <w:szCs w:val="22"/>
            </w:rPr>
            <w:t xml:space="preserve"> </w:t>
          </w:r>
          <w:r w:rsidR="00CA6D98">
            <w:rPr>
              <w:rFonts w:cs="Arial"/>
              <w:szCs w:val="22"/>
            </w:rPr>
            <w:t>Bemærk a</w:t>
          </w:r>
          <w:r w:rsidR="00FF56D1">
            <w:rPr>
              <w:rFonts w:cs="Arial"/>
              <w:szCs w:val="22"/>
            </w:rPr>
            <w:t>t det ikke har en effekt i 2021 fordi kommunen har valgt at budgettere efter statsgarantien.</w:t>
          </w:r>
        </w:p>
        <w:p w:rsidR="007C09E1" w:rsidRDefault="007C09E1" w:rsidP="002C631D">
          <w:pPr>
            <w:rPr>
              <w:rFonts w:cs="Arial"/>
              <w:szCs w:val="22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250"/>
            <w:gridCol w:w="1097"/>
            <w:gridCol w:w="1097"/>
            <w:gridCol w:w="1097"/>
            <w:gridCol w:w="1097"/>
          </w:tblGrid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Tabel 6</w:t>
                </w:r>
                <w:r w:rsidRPr="00FF56D1">
                  <w:rPr>
                    <w:rFonts w:cs="Arial"/>
                    <w:sz w:val="20"/>
                    <w:szCs w:val="20"/>
                  </w:rPr>
                  <w:t>, ændringer i indtægtsbudgettering (i 1.000 kr.)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2021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2022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2023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2024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Tilskud og udligning, Budgetnotat 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-1.354.443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-1.395.604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-1.412.004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-1.484.969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Tilskud og udligning, Budgetnotat 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-1.354.443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-1.396.552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-1.410.828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-1.479.159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Ændring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-948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1.176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5.810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Skatteindtægter, Budgetnotat 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-1.735.614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-1.742.235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-1.789.037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-1.795.556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Skatteindtægter, Budgetnotat 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-1.735.614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-1.739.733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-1.787.962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FF56D1">
                  <w:rPr>
                    <w:rFonts w:cs="Arial"/>
                    <w:sz w:val="20"/>
                    <w:szCs w:val="20"/>
                  </w:rPr>
                  <w:t>-1.796.736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Ændring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2.502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1.075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-1.181</w:t>
                </w:r>
              </w:p>
            </w:tc>
          </w:tr>
          <w:tr w:rsidR="00FF56D1" w:rsidRPr="00FF56D1" w:rsidTr="00FF56D1">
            <w:trPr>
              <w:trHeight w:val="255"/>
            </w:trPr>
            <w:tc>
              <w:tcPr>
                <w:tcW w:w="311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Ændringer i alt</w:t>
                </w:r>
                <w:r>
                  <w:rPr>
                    <w:rFonts w:cs="Arial"/>
                    <w:b/>
                    <w:bCs/>
                    <w:sz w:val="20"/>
                    <w:szCs w:val="20"/>
                  </w:rPr>
                  <w:t xml:space="preserve"> (+ mindreindtægt)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1.554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2.251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F56D1" w:rsidRPr="00FF56D1" w:rsidRDefault="00FF56D1" w:rsidP="00FF56D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FF56D1">
                  <w:rPr>
                    <w:rFonts w:cs="Arial"/>
                    <w:b/>
                    <w:bCs/>
                    <w:sz w:val="20"/>
                    <w:szCs w:val="20"/>
                  </w:rPr>
                  <w:t>4.629</w:t>
                </w:r>
              </w:p>
            </w:tc>
          </w:tr>
        </w:tbl>
        <w:p w:rsidR="003B27A2" w:rsidRDefault="003B27A2" w:rsidP="002C631D">
          <w:pPr>
            <w:rPr>
              <w:rFonts w:cs="Arial"/>
              <w:szCs w:val="22"/>
            </w:rPr>
          </w:pPr>
        </w:p>
        <w:p w:rsidR="00BE1083" w:rsidRPr="00F40473" w:rsidRDefault="00D93EC4" w:rsidP="0039786F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Ændringerne har kun marginal betydning for kommunens driftsresultat</w:t>
          </w:r>
          <w:r w:rsidR="00CA6D98">
            <w:rPr>
              <w:rFonts w:cs="Arial"/>
              <w:szCs w:val="22"/>
            </w:rPr>
            <w:t xml:space="preserve"> i årene frem</w:t>
          </w:r>
          <w:r>
            <w:rPr>
              <w:rFonts w:cs="Arial"/>
              <w:szCs w:val="22"/>
            </w:rPr>
            <w:t>.</w:t>
          </w:r>
        </w:p>
        <w:p w:rsidR="00706B6C" w:rsidRPr="00216A3A" w:rsidRDefault="00706B6C" w:rsidP="00CC3879">
          <w:pPr>
            <w:pStyle w:val="Typografi3"/>
            <w:rPr>
              <w:rStyle w:val="Svaghenvisning"/>
              <w:smallCaps w:val="0"/>
              <w:color w:val="auto"/>
              <w:u w:val="none"/>
            </w:rPr>
          </w:pPr>
          <w:r w:rsidRPr="00216A3A">
            <w:rPr>
              <w:rStyle w:val="Svaghenvisning"/>
              <w:smallCaps w:val="0"/>
              <w:color w:val="auto"/>
              <w:u w:val="none"/>
            </w:rPr>
            <w:t>Anlægsramme</w:t>
          </w:r>
        </w:p>
        <w:p w:rsidR="00B259A8" w:rsidRDefault="00B259A8" w:rsidP="00706B6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Økonomiafta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len har givet kommunen et forventet markant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løft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 2021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 hvilket nedstående tabel illustrerer:</w:t>
          </w:r>
        </w:p>
        <w:p w:rsidR="006E2F11" w:rsidRDefault="006E2F11" w:rsidP="00706B6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B259A8" w:rsidRDefault="006E2F11" w:rsidP="00706B6C">
          <w:pPr>
            <w:rPr>
              <w:rStyle w:val="Svaghenvisning"/>
              <w:rFonts w:cs="Arial"/>
              <w:smallCaps w:val="0"/>
              <w:color w:val="auto"/>
              <w:sz w:val="20"/>
              <w:szCs w:val="20"/>
              <w:u w:val="none"/>
            </w:rPr>
          </w:pPr>
          <w:r w:rsidRPr="006E2F11">
            <w:rPr>
              <w:rStyle w:val="Svaghenvisning"/>
              <w:rFonts w:cs="Arial"/>
              <w:b/>
              <w:smallCaps w:val="0"/>
              <w:color w:val="auto"/>
              <w:sz w:val="20"/>
              <w:szCs w:val="20"/>
              <w:u w:val="none"/>
            </w:rPr>
            <w:t xml:space="preserve">Tabel </w:t>
          </w:r>
          <w:r w:rsidR="009E11DB">
            <w:rPr>
              <w:rStyle w:val="Svaghenvisning"/>
              <w:rFonts w:cs="Arial"/>
              <w:b/>
              <w:smallCaps w:val="0"/>
              <w:color w:val="auto"/>
              <w:sz w:val="20"/>
              <w:szCs w:val="20"/>
              <w:u w:val="none"/>
            </w:rPr>
            <w:t>6</w:t>
          </w:r>
          <w:r w:rsidRPr="006E2F11">
            <w:rPr>
              <w:rStyle w:val="Svaghenvisning"/>
              <w:rFonts w:cs="Arial"/>
              <w:smallCaps w:val="0"/>
              <w:color w:val="auto"/>
              <w:sz w:val="20"/>
              <w:szCs w:val="20"/>
              <w:u w:val="none"/>
            </w:rPr>
            <w:t>: Anlægsudgifter i budgetforslag 2020</w:t>
          </w:r>
        </w:p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2"/>
            <w:gridCol w:w="7651"/>
            <w:gridCol w:w="1675"/>
          </w:tblGrid>
          <w:tr w:rsidR="00CA6D98" w:rsidRPr="00CA6D98" w:rsidTr="00CA6D98">
            <w:trPr>
              <w:trHeight w:val="765"/>
            </w:trPr>
            <w:tc>
              <w:tcPr>
                <w:tcW w:w="4131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 w:rsidRPr="00CA6D98">
                  <w:rPr>
                    <w:rFonts w:cs="Arial"/>
                    <w:i/>
                    <w:iCs/>
                    <w:sz w:val="20"/>
                    <w:szCs w:val="20"/>
                  </w:rPr>
                  <w:t>- Opgjort i 1.000 kr.</w:t>
                </w:r>
              </w:p>
            </w:tc>
            <w:tc>
              <w:tcPr>
                <w:tcW w:w="86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Korrigeret budgetforslag 2021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A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Anlægsudgifter, landsplan</w:t>
                </w:r>
                <w:r w:rsidRPr="00CA6D98">
                  <w:rPr>
                    <w:rFonts w:cs="Arial"/>
                    <w:b/>
                    <w:bCs/>
                    <w:i/>
                    <w:iCs/>
                    <w:sz w:val="20"/>
                    <w:szCs w:val="20"/>
                  </w:rPr>
                  <w:t xml:space="preserve"> (Økonomiaftalen 2021)</w:t>
                </w:r>
              </w:p>
            </w:tc>
            <w:tc>
              <w:tcPr>
                <w:tcW w:w="86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21.600.000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B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Nøgle, Tilskudsmodellen Juli 2020</w:t>
                </w:r>
              </w:p>
            </w:tc>
            <w:tc>
              <w:tcPr>
                <w:tcW w:w="86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0,6003%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C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Anlægsudgifter, landsplan - Brøndby Kommunes andel (A*B)</w:t>
                </w:r>
              </w:p>
            </w:tc>
            <w:tc>
              <w:tcPr>
                <w:tcW w:w="86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129.668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D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 xml:space="preserve">Anlægsudgifter - indmeldt </w:t>
                </w:r>
                <w:r w:rsidR="00FF56D1">
                  <w:rPr>
                    <w:rFonts w:cs="Arial"/>
                    <w:b/>
                    <w:bCs/>
                    <w:sz w:val="20"/>
                    <w:szCs w:val="20"/>
                  </w:rPr>
                  <w:t>og forventet anlægs</w:t>
                </w: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niveau</w:t>
                </w:r>
              </w:p>
            </w:tc>
            <w:tc>
              <w:tcPr>
                <w:tcW w:w="8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162.000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E</w:t>
                </w:r>
              </w:p>
            </w:tc>
            <w:tc>
              <w:tcPr>
                <w:tcW w:w="3969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Anlægsudgifter, hkt. 0-6, brutto</w:t>
                </w:r>
              </w:p>
            </w:tc>
            <w:tc>
              <w:tcPr>
                <w:tcW w:w="869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182.972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F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Anlægsudgifter, hkt. 1 (forsyningsvirksomheder), brutto</w:t>
                </w:r>
              </w:p>
            </w:tc>
            <w:tc>
              <w:tcPr>
                <w:tcW w:w="8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G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Anlægsudgifter, fkt. 00.25.19 (ældreboliger), brutto</w:t>
                </w:r>
              </w:p>
            </w:tc>
            <w:tc>
              <w:tcPr>
                <w:tcW w:w="86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CA6D98">
                  <w:rPr>
                    <w:rFonts w:cs="Arial"/>
                    <w:sz w:val="20"/>
                    <w:szCs w:val="20"/>
                  </w:rPr>
                  <w:t>20.972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H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Anlægsudgifter, underlagt anlægsramme (D-E-F)</w:t>
                </w:r>
              </w:p>
            </w:tc>
            <w:tc>
              <w:tcPr>
                <w:tcW w:w="86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162.000</w:t>
                </w:r>
              </w:p>
            </w:tc>
          </w:tr>
          <w:tr w:rsidR="00CA6D98" w:rsidRPr="00CA6D98" w:rsidTr="00CA6D98">
            <w:trPr>
              <w:trHeight w:val="255"/>
            </w:trPr>
            <w:tc>
              <w:tcPr>
                <w:tcW w:w="1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center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I</w:t>
                </w:r>
              </w:p>
            </w:tc>
            <w:tc>
              <w:tcPr>
                <w:tcW w:w="396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Forskel (D-H)</w:t>
                </w:r>
              </w:p>
            </w:tc>
            <w:tc>
              <w:tcPr>
                <w:tcW w:w="86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A6D98" w:rsidRPr="00CA6D98" w:rsidRDefault="00CA6D98" w:rsidP="00CA6D98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CA6D98">
                  <w:rPr>
                    <w:rFonts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</w:tr>
        </w:tbl>
        <w:p w:rsidR="004A492A" w:rsidRDefault="004A492A" w:rsidP="00706B6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A676C0" w:rsidRDefault="00CA6D98" w:rsidP="00706B6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Som nævnt er der en hård kamp om anlægsudgifterne</w:t>
          </w:r>
          <w:r w:rsidR="00A8375F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 de kommunale budgetter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. </w:t>
          </w:r>
          <w:r w:rsidRPr="00CA6D98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Brøndby Kommune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har hele vejen igennem taget udgangspunkt i de indmeldinger som blev </w:t>
          </w:r>
          <w:r w:rsidR="00A8375F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afgivet i foråret og som også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danner baggrund for de samlede kommunale anlægsudgifter i økonomiaftalen for 2021. </w:t>
          </w:r>
        </w:p>
        <w:p w:rsidR="00CA6D98" w:rsidRDefault="00CA6D98" w:rsidP="00706B6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CA6D98" w:rsidRDefault="00CA6D98" w:rsidP="00CA6D98">
          <w:r>
            <w:t>Anlægsrammen, som kommunen kan handle efter, udgør forventeligt ca. 162,0. mio. kr. i 2021 og ligger altså højere end</w:t>
          </w:r>
          <w:r w:rsidR="00A8375F">
            <w:t xml:space="preserve"> hvad</w:t>
          </w:r>
          <w:r>
            <w:t xml:space="preserve"> den ”normale” fordeling </w:t>
          </w:r>
          <w:r w:rsidR="00A8375F">
            <w:t>ville tildele</w:t>
          </w:r>
          <w:r>
            <w:t xml:space="preserve"> kommunen.</w:t>
          </w:r>
        </w:p>
        <w:p w:rsidR="00CA6D98" w:rsidRDefault="00CA6D98" w:rsidP="00CA6D98"/>
        <w:p w:rsidR="00CA6D98" w:rsidRDefault="006B3495" w:rsidP="00CA6D98">
          <w:r>
            <w:t>I budgetforliget danner dette anlægsniveau også baggrund fo</w:t>
          </w:r>
          <w:r w:rsidR="00FD683F">
            <w:t>r de anlægsprioriteringer Kommunalbestyrelsen har</w:t>
          </w:r>
          <w:r>
            <w:t xml:space="preserve"> foretaget til gavn for alle velfærdsområder. </w:t>
          </w:r>
        </w:p>
        <w:p w:rsidR="00CA6D98" w:rsidRDefault="00CA6D98" w:rsidP="00CA6D98"/>
        <w:p w:rsidR="006B3495" w:rsidRDefault="00CA6D98" w:rsidP="00CA6D98">
          <w:r>
            <w:t>Konkret betyder det at der er prioriteret anlæg for 162,0 mio. kr., når der ses bort fra ældreboliger og forsyningsvirksomheder.</w:t>
          </w:r>
        </w:p>
        <w:p w:rsidR="006B3495" w:rsidRPr="00423AD3" w:rsidRDefault="006B3495" w:rsidP="006B3495">
          <w:pPr>
            <w:pStyle w:val="Typografi3"/>
            <w:numPr>
              <w:ilvl w:val="1"/>
              <w:numId w:val="22"/>
            </w:numPr>
            <w:jc w:val="both"/>
            <w:rPr>
              <w:rStyle w:val="Svaghenvisning"/>
              <w:smallCaps w:val="0"/>
              <w:color w:val="auto"/>
              <w:u w:val="none"/>
            </w:rPr>
          </w:pPr>
          <w:r>
            <w:rPr>
              <w:rStyle w:val="Svaghenvisning"/>
              <w:smallCaps w:val="0"/>
              <w:color w:val="auto"/>
              <w:u w:val="none"/>
            </w:rPr>
            <w:t>Anlægspuljer</w:t>
          </w:r>
        </w:p>
        <w:p w:rsidR="00CA6D98" w:rsidRDefault="00CA6D98" w:rsidP="00CA6D98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F04CDA" w:rsidRDefault="00FA7A22" w:rsidP="001A501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Af investeringsoversigten</w:t>
          </w:r>
          <w:r w:rsidR="00AF111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 bilag C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fremgår det at der er afsat </w:t>
          </w:r>
          <w:r w:rsidR="00FD4282" w:rsidRPr="00FD4282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29,5</w:t>
          </w:r>
          <w:r w:rsidR="006A0A5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mio. kr. til anlægspuljer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.</w:t>
          </w:r>
          <w:r w:rsidR="006A0A5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D</w:t>
          </w:r>
          <w:r w:rsidR="006B3495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et er 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derfor </w:t>
          </w:r>
          <w:r w:rsidR="006B3495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dette beløb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</w:t>
          </w:r>
          <w:r w:rsidR="006B3495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som der i 2021</w:t>
          </w:r>
          <w:r w:rsidR="00FF56D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</w:t>
          </w:r>
          <w:r w:rsidR="006A0A5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ansøges om anlægsbevilling. Puljerne </w:t>
          </w:r>
          <w:r w:rsidR="009E11DB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består af</w:t>
          </w:r>
          <w:r w:rsidR="006A0A5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:</w:t>
          </w:r>
        </w:p>
        <w:p w:rsidR="006A0A57" w:rsidRDefault="006A0A57" w:rsidP="001A501C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612"/>
            <w:gridCol w:w="2026"/>
          </w:tblGrid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sz w:val="20"/>
                    <w:szCs w:val="20"/>
                  </w:rPr>
                </w:pPr>
                <w:r w:rsidRPr="006A0A57">
                  <w:rPr>
                    <w:rFonts w:cs="Arial"/>
                    <w:b/>
                    <w:bCs/>
                    <w:sz w:val="20"/>
                    <w:szCs w:val="20"/>
                  </w:rPr>
                  <w:t xml:space="preserve">Tabel </w:t>
                </w:r>
                <w:r w:rsidR="009E11DB">
                  <w:rPr>
                    <w:rFonts w:cs="Arial"/>
                    <w:b/>
                    <w:bCs/>
                    <w:sz w:val="20"/>
                    <w:szCs w:val="20"/>
                  </w:rPr>
                  <w:t>7</w:t>
                </w:r>
                <w:r w:rsidR="006B3495">
                  <w:rPr>
                    <w:rFonts w:cs="Arial"/>
                    <w:sz w:val="20"/>
                    <w:szCs w:val="20"/>
                  </w:rPr>
                  <w:t>: Anlægspuljer i 2021</w:t>
                </w:r>
                <w:r w:rsidRPr="006A0A57">
                  <w:rPr>
                    <w:rFonts w:cs="Arial"/>
                    <w:sz w:val="20"/>
                    <w:szCs w:val="20"/>
                  </w:rPr>
                  <w:t xml:space="preserve"> hvor der søges anlægsbevilling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sz w:val="20"/>
                    <w:szCs w:val="20"/>
                  </w:rPr>
                </w:pPr>
                <w:r w:rsidRPr="006A0A57">
                  <w:rPr>
                    <w:rFonts w:cs="Arial"/>
                    <w:sz w:val="20"/>
                    <w:szCs w:val="20"/>
                  </w:rPr>
                  <w:t>Beløb i 1</w:t>
                </w:r>
                <w:r w:rsidR="00836875">
                  <w:rPr>
                    <w:rFonts w:cs="Arial"/>
                    <w:sz w:val="20"/>
                    <w:szCs w:val="20"/>
                  </w:rPr>
                  <w:t>.</w:t>
                </w:r>
                <w:r w:rsidRPr="006A0A57">
                  <w:rPr>
                    <w:rFonts w:cs="Arial"/>
                    <w:sz w:val="20"/>
                    <w:szCs w:val="20"/>
                  </w:rPr>
                  <w:t>000 kr.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>Pulje til bygningsvedligehold og energirenovering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AF111E" w:rsidP="006A0A57">
                <w:pPr>
                  <w:jc w:val="right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>14</w:t>
                </w:r>
                <w:r w:rsidR="00EC4E33">
                  <w:rPr>
                    <w:rFonts w:cs="Arial"/>
                    <w:color w:val="000000"/>
                    <w:sz w:val="20"/>
                    <w:szCs w:val="20"/>
                  </w:rPr>
                  <w:t>.046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 xml:space="preserve">Pulje til trafik og grønne områder 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EC4E33" w:rsidP="006A0A57">
                <w:pPr>
                  <w:jc w:val="right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>6.000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 xml:space="preserve">Pulje til byudvikling 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EC4E33" w:rsidP="006A0A57">
                <w:pPr>
                  <w:jc w:val="right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>3</w:t>
                </w:r>
                <w:r w:rsidR="006A0A57" w:rsidRPr="006A0A57">
                  <w:rPr>
                    <w:rFonts w:cs="Arial"/>
                    <w:color w:val="000000"/>
                    <w:sz w:val="20"/>
                    <w:szCs w:val="20"/>
                  </w:rPr>
                  <w:t>.000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>Pulje til risikostyring og forsikringsområdet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jc w:val="right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>1.500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6A0A57">
                  <w:rPr>
                    <w:rFonts w:cs="Arial"/>
                    <w:color w:val="000000"/>
                    <w:sz w:val="20"/>
                    <w:szCs w:val="20"/>
                  </w:rPr>
                  <w:t>IT- og digitaliseringspulje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hideMark/>
              </w:tcPr>
              <w:p w:rsidR="006A0A57" w:rsidRPr="006A0A57" w:rsidRDefault="00AF111E" w:rsidP="006A0A57">
                <w:pPr>
                  <w:jc w:val="right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>5</w:t>
                </w:r>
                <w:r w:rsidR="006A0A57" w:rsidRPr="006A0A57">
                  <w:rPr>
                    <w:rFonts w:cs="Arial"/>
                    <w:color w:val="000000"/>
                    <w:sz w:val="20"/>
                    <w:szCs w:val="20"/>
                  </w:rPr>
                  <w:t>.000</w:t>
                </w:r>
              </w:p>
            </w:tc>
          </w:tr>
          <w:tr w:rsidR="006A0A57" w:rsidRPr="006A0A57" w:rsidTr="006A0A57">
            <w:trPr>
              <w:trHeight w:val="255"/>
            </w:trPr>
            <w:tc>
              <w:tcPr>
                <w:tcW w:w="394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A0A57" w:rsidRPr="006A0A57" w:rsidRDefault="006A0A57" w:rsidP="006A0A57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A0A57">
                  <w:rPr>
                    <w:rFonts w:cs="Arial"/>
                    <w:b/>
                    <w:bCs/>
                    <w:sz w:val="20"/>
                    <w:szCs w:val="20"/>
                  </w:rPr>
                  <w:t>I alt</w:t>
                </w:r>
              </w:p>
            </w:tc>
            <w:tc>
              <w:tcPr>
                <w:tcW w:w="105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A0A57" w:rsidRPr="006A0A57" w:rsidRDefault="00EC4E33" w:rsidP="006A0A57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sz w:val="20"/>
                    <w:szCs w:val="20"/>
                  </w:rPr>
                  <w:t>29.546</w:t>
                </w:r>
              </w:p>
            </w:tc>
          </w:tr>
        </w:tbl>
        <w:p w:rsidR="00295E84" w:rsidRPr="00216A3A" w:rsidRDefault="00295E84" w:rsidP="007C4971">
          <w:pPr>
            <w:pStyle w:val="Overskrift1"/>
            <w:numPr>
              <w:ilvl w:val="0"/>
              <w:numId w:val="16"/>
            </w:num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Resultatopgørelse</w:t>
          </w:r>
          <w:r w:rsidR="00F21E6D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</w:t>
          </w:r>
          <w:r w:rsidR="00771CAB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og den økonomiske politik</w:t>
          </w:r>
        </w:p>
        <w:p w:rsidR="00334A7B" w:rsidRDefault="00295E84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Nedenfor</w:t>
          </w:r>
          <w:r w:rsidR="009E11DB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 tabel 8</w:t>
          </w:r>
          <w:r w:rsidR="005E7C6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</w:t>
          </w: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er indsat en resultatopgørelse</w:t>
          </w:r>
          <w:r w:rsidR="00E008B2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</w:t>
          </w:r>
          <w:r w:rsidR="00FA2F6C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som viser kommunens</w:t>
          </w: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driftsoverskud, resultat i alt og forventede kassetræk. </w:t>
          </w:r>
          <w:r w:rsidR="00AA2B4E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I forhold til kommunens økonomiske politik sigtes der efter et driftsoverskud i størrelsesordenen 75 mio. kr. </w:t>
          </w:r>
        </w:p>
        <w:p w:rsidR="00334A7B" w:rsidRDefault="00334A7B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3B5AB3" w:rsidRDefault="00FA2F6C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Budgetforsla</w:t>
          </w:r>
          <w:r w:rsidR="00F87C1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get udviser et driftsoverskud</w:t>
          </w:r>
          <w:r w:rsidR="00334A7B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på</w:t>
          </w:r>
          <w:r w:rsidR="00F87C1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</w:t>
          </w:r>
          <w:r w:rsidR="000F201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196,7</w:t>
          </w:r>
          <w:r w:rsidR="00916868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</w:t>
          </w:r>
          <w:r w:rsidR="00771CAB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mio. kr. 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Der er således sket en forøgelse af driftsoverskuddet siden sidst</w:t>
          </w:r>
          <w:r w:rsidR="00334A7B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e Budgetnotat. Det skyldes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primært at der i kommunens refusioner nu er indarbejdet et større millionbeløb som følge af en lovændring af refusionsområdet. Ændringen har været en del af Lov- og Cirkulæreprogrammet, men har alene omfattet overførselsudgifterne</w:t>
          </w:r>
          <w:r w:rsidR="00334A7B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og har derfor ikke indflydelse på kommunens serviceudgifter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. </w:t>
          </w:r>
        </w:p>
        <w:p w:rsidR="00FA2F6C" w:rsidRDefault="00FA2F6C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FA2F6C" w:rsidRDefault="00FA2F6C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D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riftsudgifter (service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) er faldet med knap 4,0 mio. kr.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hvilket skal ses i lyset af de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indarbejdede</w:t>
          </w:r>
          <w:r w:rsidR="006A76C7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reduktionsforslag.</w:t>
          </w:r>
        </w:p>
        <w:p w:rsidR="006E2F11" w:rsidRDefault="006E2F11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D236C8" w:rsidRPr="00216A3A" w:rsidRDefault="00D236C8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Indtægterne er </w:t>
          </w:r>
          <w:r w:rsidRPr="006E2F11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fuldt ud opdateret 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med de seneste skøn</w:t>
          </w:r>
          <w:r w:rsidR="00FD01D2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og udgør</w:t>
          </w:r>
          <w:r w:rsidR="00FD01D2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dermed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grundlaget for kommunens samled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e indtægter i budgetforslag 2021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.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Igen skal det nævnes at den faldende profil i driftsoverskuddet til dels skyldes bortfald at en ekstra indtægt i 2021 og 2022</w:t>
          </w:r>
          <w:r w:rsidR="00FA2F6C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og en indarbejdelse af driftsudgifter på 30 mio. kr. til Vesterled.</w:t>
          </w:r>
        </w:p>
        <w:p w:rsidR="00916868" w:rsidRDefault="00916868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7C5F09" w:rsidRDefault="00771CAB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 w:rsidRP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A</w:t>
          </w:r>
          <w:r w:rsid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nlægsudgifterne</w:t>
          </w:r>
          <w:r w:rsidRP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er </w:t>
          </w:r>
          <w:r w:rsidR="0073010E" w:rsidRP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tilpasset investeringsoversigten ud fra de</w:t>
          </w:r>
          <w:r w:rsidR="00061EC9" w:rsidRP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t</w:t>
          </w:r>
          <w:r w:rsidR="0073010E" w:rsidRPr="00061EC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foreliggende forslag</w:t>
          </w:r>
          <w:r w:rsidR="0073010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. </w:t>
          </w:r>
          <w:r w:rsidR="005F0C8B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De rammebelagte anlægsudgifter vil forventeligt </w:t>
          </w:r>
          <w:r w:rsidR="003B5AB3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ligge i størrelsesordenen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162</w:t>
          </w:r>
          <w:r w:rsidR="003704A8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,0</w:t>
          </w:r>
          <w:r w:rsidR="005F0C8B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mio. kr. </w:t>
          </w:r>
          <w:r w:rsidR="00FD01D2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Medregnes anlægsudgifter til ældreboliger og forsyningsområdet er den samle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de budgetterede anlægsudgift 182,0 mio. kr. i 2021</w:t>
          </w:r>
          <w:r w:rsidR="00FD01D2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.</w:t>
          </w:r>
        </w:p>
        <w:p w:rsidR="00DB3F94" w:rsidRDefault="00DB3F94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73010E" w:rsidRDefault="00D236C8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Det samlede kassetræk </w:t>
          </w:r>
          <w:r w:rsidR="000F201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i 2021 på -28,9 </w:t>
          </w:r>
          <w:r w:rsidR="00B465CD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mio. kr. betyder at der budgetteres med at lægges penge i kommunekassen, selv efter der er finansieret adskillige millioner til anlæg. Det positive resultat skal også ses i lyset af at der nu budgetteres med låneoptag (byggekredit) til Vesterled og Strandboligerne. I 2021 udgør lånoptaget -21,0 mio. kr. </w:t>
          </w:r>
          <w:r w:rsidR="00325F1C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Låneafdraget er derimod reduceret i tråd med gældsafviklingen i kommunen. </w:t>
          </w:r>
        </w:p>
        <w:p w:rsidR="00B465CD" w:rsidRDefault="00B465CD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B465CD" w:rsidRDefault="00B465CD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De fornuftige driftsoverskud i overslagsårene er også medvirkende til at de kommende års anlægsinvesteringer delvist kan finansieres af disse.</w:t>
          </w:r>
        </w:p>
        <w:p w:rsidR="00D236C8" w:rsidRDefault="00D236C8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0728C2" w:rsidRDefault="00226AC1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I forhold opgørelsen af serviceudgifterne i resultatopgørelsen, skal det præciseres at disse er opgjort eksklusiv</w:t>
          </w:r>
          <w:r w:rsidR="00EE663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midler til jordforsyning</w:t>
          </w:r>
          <w:r w:rsidR="009D504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(-743 t.kr)</w:t>
          </w:r>
          <w:r w:rsidR="00EE6639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. Disse</w:t>
          </w: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tal tilsammen udgør kommunens serviceramme.</w:t>
          </w:r>
        </w:p>
        <w:p w:rsidR="001861FB" w:rsidRDefault="001861FB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7A40FB" w:rsidRDefault="007A40FB" w:rsidP="00295E84">
          <w:p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295E84" w:rsidRDefault="00785B05" w:rsidP="00295E84">
          <w:pPr>
            <w:rPr>
              <w:rStyle w:val="Svaghenvisning"/>
              <w:rFonts w:cs="Arial"/>
              <w:smallCaps w:val="0"/>
              <w:color w:val="auto"/>
              <w:sz w:val="20"/>
              <w:szCs w:val="20"/>
              <w:u w:val="none"/>
            </w:rPr>
          </w:pPr>
          <w:r w:rsidRPr="00D236C8">
            <w:rPr>
              <w:rStyle w:val="Svaghenvisning"/>
              <w:rFonts w:cs="Arial"/>
              <w:b/>
              <w:smallCaps w:val="0"/>
              <w:color w:val="auto"/>
              <w:sz w:val="20"/>
              <w:szCs w:val="20"/>
              <w:u w:val="none"/>
            </w:rPr>
            <w:t xml:space="preserve">Tabel </w:t>
          </w:r>
          <w:r w:rsidR="009E11DB">
            <w:rPr>
              <w:rStyle w:val="Svaghenvisning"/>
              <w:rFonts w:cs="Arial"/>
              <w:b/>
              <w:smallCaps w:val="0"/>
              <w:color w:val="auto"/>
              <w:sz w:val="20"/>
              <w:szCs w:val="20"/>
              <w:u w:val="none"/>
            </w:rPr>
            <w:t>8</w:t>
          </w:r>
          <w:r w:rsidRPr="00D236C8">
            <w:rPr>
              <w:rStyle w:val="Svaghenvisning"/>
              <w:rFonts w:cs="Arial"/>
              <w:smallCaps w:val="0"/>
              <w:color w:val="auto"/>
              <w:sz w:val="20"/>
              <w:szCs w:val="20"/>
              <w:u w:val="none"/>
            </w:rPr>
            <w:t>, resultatopgørelse</w:t>
          </w:r>
        </w:p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514"/>
            <w:gridCol w:w="1191"/>
            <w:gridCol w:w="1311"/>
            <w:gridCol w:w="1311"/>
            <w:gridCol w:w="1311"/>
          </w:tblGrid>
          <w:tr w:rsidR="006B57E1" w:rsidRPr="006B57E1" w:rsidTr="006B57E1">
            <w:trPr>
              <w:trHeight w:val="510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Budgetforslag 2021</w:t>
                </w:r>
              </w:p>
            </w:tc>
            <w:tc>
              <w:tcPr>
                <w:tcW w:w="61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Budgetoverslag 2022</w:t>
                </w:r>
              </w:p>
            </w:tc>
            <w:tc>
              <w:tcPr>
                <w:tcW w:w="61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Budgetoverslag 2023</w:t>
                </w:r>
              </w:p>
            </w:tc>
            <w:tc>
              <w:tcPr>
                <w:tcW w:w="61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Budgetoverslag 2024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Indtægter (skat, tilskud og udligning)</w:t>
                </w:r>
              </w:p>
            </w:tc>
            <w:tc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-3.090.056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-3.136.285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-3.198.789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-3.275.896</w:t>
                </w:r>
              </w:p>
            </w:tc>
          </w:tr>
          <w:tr w:rsidR="006B57E1" w:rsidRPr="006B57E1" w:rsidTr="006B57E1">
            <w:trPr>
              <w:trHeight w:val="300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Driftsudgifter, service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2.047.725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2.101.383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2.152.607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2.220.895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Driftsudgifter, øvrige (ikke-service)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843.120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856.023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870.122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892.074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Renter</w:t>
                </w:r>
              </w:p>
            </w:tc>
            <w:tc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2.540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2.540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2.540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2.540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RESULTAT AF ORDINÆR DRIFTSVIRKSOMHED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-196.671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-176.339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-173.520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-160.387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Anlægsudgifter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181.972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240.787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279.624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249.590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</w:pPr>
                <w:r w:rsidRPr="006B57E1"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  <w:t>- heraf rammebelagte anlægsudgifter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</w:pPr>
                <w:r w:rsidRPr="006B57E1"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  <w:t>162.000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</w:pPr>
                <w:r w:rsidRPr="006B57E1"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  <w:t>154.318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</w:pPr>
                <w:r w:rsidRPr="006B57E1"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  <w:t>168.045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</w:pPr>
                <w:r w:rsidRPr="006B57E1">
                  <w:rPr>
                    <w:rFonts w:cs="Arial"/>
                    <w:i/>
                    <w:iCs/>
                    <w:color w:val="808080"/>
                    <w:sz w:val="20"/>
                    <w:szCs w:val="20"/>
                  </w:rPr>
                  <w:t>154.550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Jordforsyning, drifts- og anlægsudgifter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-723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-748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-772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-1.189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RESULTAT AF SKATTEFINANSIERET OMRÅDE</w:t>
                </w:r>
              </w:p>
            </w:tc>
            <w:tc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-15.422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63.700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105.332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88.013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Forsyningsvirkomhed, drifts- og anlægsudgifter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-228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-457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-917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-1.135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RESULTAT I ALT</w:t>
                </w:r>
              </w:p>
            </w:tc>
            <w:tc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-15.650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63.243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104.415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86.878</w:t>
                </w:r>
              </w:p>
            </w:tc>
          </w:tr>
          <w:tr w:rsidR="006B57E1" w:rsidRPr="006B57E1" w:rsidTr="006B57E1">
            <w:trPr>
              <w:trHeight w:val="76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Lånoptag (byggekredit til opførelse af boligdelen – Vesterled og Strandboligerne)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-20.972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-93.927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-117.408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-88.362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Lånafdrag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500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Øvrige balanceforskydninger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7.206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7.198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7.198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7.198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Forskydninger i likvide aktiver (vedtaget)</w:t>
                </w:r>
              </w:p>
            </w:tc>
            <w:tc>
              <w:tcPr>
                <w:tcW w:w="55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  <w:tc>
              <w:tcPr>
                <w:tcW w:w="615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0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FINANSIEL BALANCE (FORSKYDNING I LIKVIDE AKTIVER)</w:t>
                </w:r>
              </w:p>
            </w:tc>
            <w:tc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-28.916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-22.986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-5.295</w:t>
                </w:r>
              </w:p>
            </w:tc>
            <w:tc>
              <w:tcPr>
                <w:tcW w:w="6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6B57E1">
                  <w:rPr>
                    <w:rFonts w:cs="Arial"/>
                    <w:b/>
                    <w:bCs/>
                    <w:sz w:val="20"/>
                    <w:szCs w:val="20"/>
                  </w:rPr>
                  <w:t>6.214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5000" w:type="pct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B57E1" w:rsidRPr="006B57E1" w:rsidRDefault="006B57E1" w:rsidP="009D504E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Note: Rammebelagte anlægsudgifter defineres som: bruttoanlægsudgifter på hkt. 0-6 fratrukket hkt. 1 (forsyningsvirksomhed) og fkt. 00.25.19 (ældreboliger).</w:t>
                </w:r>
              </w:p>
            </w:tc>
          </w:tr>
        </w:tbl>
        <w:p w:rsidR="001861FB" w:rsidRDefault="001861FB" w:rsidP="00295E84">
          <w:pPr>
            <w:rPr>
              <w:rStyle w:val="Svaghenvisning"/>
              <w:rFonts w:cs="Arial"/>
              <w:smallCaps w:val="0"/>
              <w:color w:val="auto"/>
              <w:sz w:val="20"/>
              <w:szCs w:val="20"/>
              <w:u w:val="none"/>
            </w:rPr>
          </w:pPr>
        </w:p>
        <w:p w:rsidR="00E03983" w:rsidRDefault="00E03983" w:rsidP="006E2F11">
          <w:pPr>
            <w:rPr>
              <w:sz w:val="18"/>
              <w:szCs w:val="18"/>
              <w:highlight w:val="yellow"/>
            </w:rPr>
          </w:pPr>
        </w:p>
        <w:p w:rsidR="00E03983" w:rsidRDefault="00E03983" w:rsidP="006E2F11">
          <w:pPr>
            <w:rPr>
              <w:sz w:val="18"/>
              <w:szCs w:val="18"/>
              <w:highlight w:val="yellow"/>
            </w:rPr>
          </w:pPr>
        </w:p>
        <w:p w:rsidR="00382117" w:rsidRPr="00326DF4" w:rsidRDefault="00382117" w:rsidP="006E2F11">
          <w:pPr>
            <w:rPr>
              <w:sz w:val="20"/>
              <w:szCs w:val="20"/>
            </w:rPr>
          </w:pPr>
          <w:r w:rsidRPr="00326DF4">
            <w:rPr>
              <w:b/>
              <w:sz w:val="20"/>
              <w:szCs w:val="20"/>
            </w:rPr>
            <w:t>Tabel 9</w:t>
          </w:r>
          <w:r w:rsidRPr="00326DF4">
            <w:rPr>
              <w:sz w:val="20"/>
              <w:szCs w:val="20"/>
            </w:rPr>
            <w:t>, likviditetsoversigt</w:t>
          </w:r>
          <w:r w:rsidR="004D528B">
            <w:rPr>
              <w:sz w:val="20"/>
              <w:szCs w:val="20"/>
            </w:rPr>
            <w:t xml:space="preserve"> </w:t>
          </w:r>
        </w:p>
        <w:tbl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913"/>
            <w:gridCol w:w="1145"/>
            <w:gridCol w:w="1145"/>
            <w:gridCol w:w="1145"/>
            <w:gridCol w:w="1145"/>
            <w:gridCol w:w="1145"/>
          </w:tblGrid>
          <w:tr w:rsidR="006B57E1" w:rsidRPr="006B57E1" w:rsidTr="006B57E1">
            <w:trPr>
              <w:trHeight w:val="300"/>
            </w:trPr>
            <w:tc>
              <w:tcPr>
                <w:tcW w:w="20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center"/>
                  <w:rPr>
                    <w:rFonts w:ascii="Calibri" w:hAnsi="Calibri" w:cs="Calibri"/>
                    <w:i/>
                    <w:i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i/>
                    <w:iCs/>
                    <w:color w:val="000000"/>
                    <w:szCs w:val="22"/>
                  </w:rPr>
                  <w:t xml:space="preserve">i 1.000 kr. 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2020</w:t>
                </w:r>
                <w:r w:rsidR="00FA5A7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*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2021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2022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2023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2024</w:t>
                </w:r>
              </w:p>
            </w:tc>
          </w:tr>
          <w:tr w:rsidR="006B57E1" w:rsidRPr="006B57E1" w:rsidTr="006B57E1">
            <w:trPr>
              <w:trHeight w:val="300"/>
            </w:trPr>
            <w:tc>
              <w:tcPr>
                <w:tcW w:w="20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Likviditet primo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476.261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188.649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227.565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260.551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275.846</w:t>
                </w:r>
              </w:p>
            </w:tc>
          </w:tr>
          <w:tr w:rsidR="006B57E1" w:rsidRPr="006B57E1" w:rsidTr="006B57E1">
            <w:trPr>
              <w:trHeight w:val="255"/>
            </w:trPr>
            <w:tc>
              <w:tcPr>
                <w:tcW w:w="20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Forskydninger i likvide aktiver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-262.436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28.916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22.986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5.295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-6.214</w:t>
                </w:r>
              </w:p>
            </w:tc>
          </w:tr>
          <w:tr w:rsidR="006B57E1" w:rsidRPr="006B57E1" w:rsidTr="006B57E1">
            <w:trPr>
              <w:trHeight w:val="300"/>
            </w:trPr>
            <w:tc>
              <w:tcPr>
                <w:tcW w:w="20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Calibri" w:hAnsi="Calibri" w:cs="Calibri"/>
                    <w:i/>
                    <w:i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i/>
                    <w:iCs/>
                    <w:color w:val="000000"/>
                    <w:szCs w:val="22"/>
                  </w:rPr>
                  <w:t>Korrektioner og antagelser: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Calibri" w:hAnsi="Calibri" w:cs="Calibri"/>
                    <w:i/>
                    <w:iCs/>
                    <w:color w:val="000000"/>
                    <w:szCs w:val="22"/>
                  </w:rPr>
                </w:pP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</w:tr>
          <w:tr w:rsidR="006B57E1" w:rsidRPr="006B57E1" w:rsidTr="006B57E1">
            <w:trPr>
              <w:trHeight w:val="510"/>
            </w:trPr>
            <w:tc>
              <w:tcPr>
                <w:tcW w:w="20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Forventninger (ikke budgetlagt, herunder at serviceramme pulje anvendes ikke fuldt ud)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-25.176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10.000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10.000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10.000</w:t>
                </w:r>
              </w:p>
            </w:tc>
            <w:tc>
              <w:tcPr>
                <w:tcW w:w="5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10.000</w:t>
                </w:r>
              </w:p>
            </w:tc>
          </w:tr>
          <w:tr w:rsidR="006B57E1" w:rsidRPr="006B57E1" w:rsidTr="006B57E1">
            <w:trPr>
              <w:trHeight w:val="300"/>
            </w:trPr>
            <w:tc>
              <w:tcPr>
                <w:tcW w:w="20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rPr>
                    <w:rFonts w:cs="Arial"/>
                    <w:sz w:val="20"/>
                    <w:szCs w:val="20"/>
                  </w:rPr>
                </w:pPr>
                <w:r w:rsidRPr="006B57E1">
                  <w:rPr>
                    <w:rFonts w:cs="Arial"/>
                    <w:sz w:val="20"/>
                    <w:szCs w:val="20"/>
                  </w:rPr>
                  <w:t>Likviditet ultimo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188.649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227.565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260.551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275.846</w:t>
                </w:r>
              </w:p>
            </w:tc>
            <w:tc>
              <w:tcPr>
                <w:tcW w:w="5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57E1" w:rsidRPr="006B57E1" w:rsidRDefault="006B57E1" w:rsidP="006B57E1">
                <w:pPr>
                  <w:jc w:val="right"/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</w:pPr>
                <w:r w:rsidRPr="006B57E1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279.632</w:t>
                </w:r>
              </w:p>
            </w:tc>
          </w:tr>
        </w:tbl>
        <w:p w:rsidR="00382117" w:rsidRPr="00326DF4" w:rsidRDefault="00FA5A71" w:rsidP="006E2F11">
          <w:r>
            <w:t>*</w:t>
          </w:r>
          <w:r w:rsidRPr="00FA5A71">
            <w:rPr>
              <w:i/>
              <w:sz w:val="18"/>
              <w:szCs w:val="18"/>
            </w:rPr>
            <w:t>Udgangspunkt i budgetopfølgning nr. 2 2020</w:t>
          </w:r>
        </w:p>
        <w:p w:rsidR="0099396E" w:rsidRPr="00216A3A" w:rsidRDefault="007762B9" w:rsidP="0099396E">
          <w:pPr>
            <w:pStyle w:val="Overskrift1"/>
            <w:numPr>
              <w:ilvl w:val="0"/>
              <w:numId w:val="16"/>
            </w:num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Efter budgetvedtagelsen og f</w:t>
          </w:r>
          <w:r w:rsidR="0099396E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rem mod </w:t>
          </w:r>
          <w:r w:rsidR="00474214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budget 2022</w:t>
          </w:r>
        </w:p>
        <w:p w:rsidR="0099396E" w:rsidRDefault="00510454" w:rsidP="003B5AB3">
          <w:r>
            <w:t>Kommunens</w:t>
          </w:r>
          <w:r w:rsidR="00C95E77">
            <w:t xml:space="preserve"> budgetproces</w:t>
          </w:r>
          <w:r>
            <w:t xml:space="preserve"> er nu afprøvet for anden gang. Det giver en oplagt mulighed for </w:t>
          </w:r>
          <w:r w:rsidR="007762B9">
            <w:t xml:space="preserve">en </w:t>
          </w:r>
          <w:r w:rsidR="00C95E77">
            <w:t>evaluering</w:t>
          </w:r>
          <w:r>
            <w:t xml:space="preserve"> med henblik på at tilpasse dels selve budgetprocessen, dels kommunens økonomiske politik som jo er tæt forbundet med budgetlægningen.</w:t>
          </w:r>
        </w:p>
        <w:p w:rsidR="00742058" w:rsidRDefault="00742058" w:rsidP="003B5AB3"/>
        <w:p w:rsidR="007A40FB" w:rsidRPr="00216A3A" w:rsidRDefault="007762B9" w:rsidP="003B5AB3">
          <w:r>
            <w:t>I december</w:t>
          </w:r>
          <w:r w:rsidR="00510454">
            <w:t xml:space="preserve"> vil evalueringen foretages således justeringerne kan medtages i budgetprocessen for budgetlægningen 2022-2025.</w:t>
          </w:r>
          <w:r>
            <w:t xml:space="preserve"> Tidligt i det nye år vil der komme forslag til tidsplan og måltal m.m. og dermed er 1. fase</w:t>
          </w:r>
          <w:r w:rsidR="003A0D67">
            <w:t xml:space="preserve"> i budgetlægningen</w:t>
          </w:r>
          <w:r>
            <w:t xml:space="preserve"> startet på ny.</w:t>
          </w:r>
        </w:p>
        <w:p w:rsidR="007E3567" w:rsidRPr="00216A3A" w:rsidRDefault="00AA488B" w:rsidP="007C4971">
          <w:pPr>
            <w:pStyle w:val="Overskrift1"/>
            <w:numPr>
              <w:ilvl w:val="0"/>
              <w:numId w:val="16"/>
            </w:numPr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  <w:r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>Indstillinger</w:t>
          </w:r>
          <w:r w:rsidR="00785B05" w:rsidRPr="00216A3A"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  <w:t xml:space="preserve"> til det politiske niveau</w:t>
          </w:r>
        </w:p>
        <w:p w:rsidR="00785B05" w:rsidRPr="00216A3A" w:rsidRDefault="00785B05" w:rsidP="00785B05"/>
        <w:p w:rsidR="00785B05" w:rsidRPr="00216A3A" w:rsidRDefault="00785B05" w:rsidP="00785B05">
          <w:r w:rsidRPr="00216A3A">
            <w:t>Økonomi- og Ressourceforvaltningen indstiller,</w:t>
          </w:r>
        </w:p>
        <w:p w:rsidR="00AE6D32" w:rsidRDefault="005B60A4" w:rsidP="00F87C1E">
          <w:pPr>
            <w:ind w:left="1304" w:hanging="1304"/>
          </w:pPr>
          <w:r>
            <w:t>a</w:t>
          </w:r>
          <w:r w:rsidR="00C22887" w:rsidRPr="00216A3A">
            <w:t>t</w:t>
          </w:r>
          <w:r w:rsidR="00615834" w:rsidRPr="00216A3A">
            <w:t xml:space="preserve"> </w:t>
          </w:r>
          <w:r w:rsidR="009D230C">
            <w:tab/>
          </w:r>
          <w:r>
            <w:t>a</w:t>
          </w:r>
          <w:r w:rsidR="000B3D4D">
            <w:t>dministrative budgetændringer</w:t>
          </w:r>
          <w:r w:rsidR="00140883">
            <w:t>, herunder bu</w:t>
          </w:r>
          <w:r w:rsidR="00FF4035">
            <w:t>dgetforliget</w:t>
          </w:r>
          <w:r w:rsidR="000B3D4D">
            <w:t xml:space="preserve"> som</w:t>
          </w:r>
          <w:r w:rsidR="00870E3C">
            <w:t xml:space="preserve"> er modtaget siden budgetnotat 3</w:t>
          </w:r>
          <w:r w:rsidR="000B3D4D">
            <w:t xml:space="preserve"> </w:t>
          </w:r>
          <w:r w:rsidR="00FF4035">
            <w:t>indarbejdes i budgetforslag 2021-2024</w:t>
          </w:r>
          <w:r w:rsidR="002D05B7">
            <w:t xml:space="preserve">, </w:t>
          </w:r>
        </w:p>
        <w:p w:rsidR="00E060CD" w:rsidRDefault="009C1BDF" w:rsidP="007A40FB">
          <w:pPr>
            <w:ind w:left="1304" w:hanging="1304"/>
          </w:pPr>
          <w:r>
            <w:t>a</w:t>
          </w:r>
          <w:r w:rsidR="00FD01D2">
            <w:t>t</w:t>
          </w:r>
          <w:r w:rsidR="00E326AF">
            <w:tab/>
            <w:t>der gives anlægsbevilling på 29,5</w:t>
          </w:r>
          <w:r w:rsidR="00FD01D2">
            <w:t xml:space="preserve"> mio. kr. til anlægspuljer </w:t>
          </w:r>
          <w:r w:rsidR="00FF4035">
            <w:t>jf. bilag x</w:t>
          </w:r>
          <w:r w:rsidR="0040034B">
            <w:t>, investeringsoversigt 2021-2024</w:t>
          </w:r>
          <w:r w:rsidR="00E060CD">
            <w:t xml:space="preserve">, </w:t>
          </w:r>
        </w:p>
        <w:p w:rsidR="007A40FB" w:rsidRDefault="00E060CD" w:rsidP="007A40FB">
          <w:pPr>
            <w:ind w:left="1304" w:hanging="1304"/>
          </w:pPr>
          <w:r>
            <w:t>at</w:t>
          </w:r>
          <w:r w:rsidR="00FF4035">
            <w:tab/>
          </w:r>
          <w:r w:rsidR="00FF4035" w:rsidRPr="003D6AF6">
            <w:t>den</w:t>
          </w:r>
          <w:r w:rsidRPr="003D6AF6">
            <w:t xml:space="preserve"> finansielle ba</w:t>
          </w:r>
          <w:r w:rsidR="00FF4035" w:rsidRPr="003D6AF6">
            <w:t>lance i b</w:t>
          </w:r>
          <w:r w:rsidR="00E326AF">
            <w:t>udgetforslaget for 2021 på -28</w:t>
          </w:r>
          <w:r w:rsidR="00325F1C">
            <w:t>,9</w:t>
          </w:r>
          <w:r w:rsidR="00FF4035" w:rsidRPr="003D6AF6">
            <w:t xml:space="preserve"> mio. kr. tilføres</w:t>
          </w:r>
          <w:r w:rsidRPr="003D6AF6">
            <w:t xml:space="preserve"> kommunens kassebeholdning (forskydning i likvide aktiver) og,</w:t>
          </w:r>
          <w:r w:rsidR="00214CE9">
            <w:tab/>
          </w:r>
        </w:p>
        <w:p w:rsidR="00FD01D2" w:rsidRDefault="00FD01D2" w:rsidP="00891056">
          <w:pPr>
            <w:ind w:left="1304" w:hanging="1304"/>
          </w:pPr>
          <w:r>
            <w:t>at</w:t>
          </w:r>
          <w:r>
            <w:tab/>
            <w:t>Borgmesteren bemyndiges til at foretage de fornødne administrative tilretninger i forbindelse med den endelige redigering af budgettet.</w:t>
          </w:r>
        </w:p>
        <w:p w:rsidR="00AE6D32" w:rsidRPr="00216A3A" w:rsidRDefault="00AE6D32" w:rsidP="00891056">
          <w:pPr>
            <w:ind w:left="1304" w:hanging="1304"/>
            <w:rPr>
              <w:rStyle w:val="Svaghenvisning"/>
              <w:rFonts w:cs="Arial"/>
              <w:smallCaps w:val="0"/>
              <w:color w:val="auto"/>
              <w:szCs w:val="22"/>
              <w:u w:val="none"/>
            </w:rPr>
          </w:pPr>
        </w:p>
        <w:p w:rsidR="007E3567" w:rsidRPr="00216A3A" w:rsidRDefault="00C22887" w:rsidP="00615834">
          <w:pPr>
            <w:ind w:left="1304" w:hanging="1304"/>
            <w:rPr>
              <w:rStyle w:val="Svaghenvisning"/>
              <w:szCs w:val="22"/>
            </w:rPr>
          </w:pPr>
          <w:r w:rsidRPr="00216A3A">
            <w:tab/>
          </w:r>
        </w:p>
      </w:sdtContent>
    </w:sdt>
    <w:sectPr w:rsidR="007E3567" w:rsidRPr="00216A3A" w:rsidSect="007E3567">
      <w:footerReference w:type="default" r:id="rId9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FF" w:rsidRDefault="008B48FF" w:rsidP="005968B5">
      <w:r>
        <w:separator/>
      </w:r>
    </w:p>
  </w:endnote>
  <w:endnote w:type="continuationSeparator" w:id="0">
    <w:p w:rsidR="008B48FF" w:rsidRDefault="008B48FF" w:rsidP="0059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738163"/>
      <w:docPartObj>
        <w:docPartGallery w:val="Page Numbers (Bottom of Page)"/>
        <w:docPartUnique/>
      </w:docPartObj>
    </w:sdtPr>
    <w:sdtEndPr/>
    <w:sdtContent>
      <w:p w:rsidR="008B48FF" w:rsidRDefault="008B48F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ED">
          <w:rPr>
            <w:noProof/>
          </w:rPr>
          <w:t>1</w:t>
        </w:r>
        <w:r>
          <w:fldChar w:fldCharType="end"/>
        </w:r>
      </w:p>
    </w:sdtContent>
  </w:sdt>
  <w:p w:rsidR="008B48FF" w:rsidRDefault="008B48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FF" w:rsidRDefault="008B48FF" w:rsidP="005968B5">
      <w:r>
        <w:separator/>
      </w:r>
    </w:p>
  </w:footnote>
  <w:footnote w:type="continuationSeparator" w:id="0">
    <w:p w:rsidR="008B48FF" w:rsidRDefault="008B48FF" w:rsidP="0059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2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2D6A1D"/>
    <w:multiLevelType w:val="hybridMultilevel"/>
    <w:tmpl w:val="303CD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6446"/>
    <w:multiLevelType w:val="multilevel"/>
    <w:tmpl w:val="F6524C1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5E51D3"/>
    <w:multiLevelType w:val="multilevel"/>
    <w:tmpl w:val="F6524C1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6C703B"/>
    <w:multiLevelType w:val="hybridMultilevel"/>
    <w:tmpl w:val="B6C89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0BA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E93F26"/>
    <w:multiLevelType w:val="hybridMultilevel"/>
    <w:tmpl w:val="CB480288"/>
    <w:lvl w:ilvl="0" w:tplc="DC5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5E34"/>
    <w:multiLevelType w:val="hybridMultilevel"/>
    <w:tmpl w:val="51E89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2771B"/>
    <w:multiLevelType w:val="multilevel"/>
    <w:tmpl w:val="F6524C1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036B9C"/>
    <w:multiLevelType w:val="hybridMultilevel"/>
    <w:tmpl w:val="E29E65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80E"/>
    <w:multiLevelType w:val="multilevel"/>
    <w:tmpl w:val="9AD093DA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6010D8"/>
    <w:multiLevelType w:val="multilevel"/>
    <w:tmpl w:val="8976D80C"/>
    <w:styleLink w:val="Typografi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CF430B"/>
    <w:multiLevelType w:val="hybridMultilevel"/>
    <w:tmpl w:val="71F8C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2C3B"/>
    <w:multiLevelType w:val="hybridMultilevel"/>
    <w:tmpl w:val="234EB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26CCD"/>
    <w:multiLevelType w:val="hybridMultilevel"/>
    <w:tmpl w:val="55949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E60"/>
    <w:multiLevelType w:val="multilevel"/>
    <w:tmpl w:val="F6524C1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C9719D"/>
    <w:multiLevelType w:val="multilevel"/>
    <w:tmpl w:val="8976D8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C08F7"/>
    <w:multiLevelType w:val="multilevel"/>
    <w:tmpl w:val="B9AC8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5A4BA5"/>
    <w:multiLevelType w:val="multilevel"/>
    <w:tmpl w:val="3676C284"/>
    <w:lvl w:ilvl="0">
      <w:start w:val="1"/>
      <w:numFmt w:val="decimal"/>
      <w:pStyle w:val="Typografi3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3A064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235D20"/>
    <w:multiLevelType w:val="multilevel"/>
    <w:tmpl w:val="FF96AAF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3F6E5C"/>
    <w:multiLevelType w:val="hybridMultilevel"/>
    <w:tmpl w:val="31528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A1D"/>
    <w:multiLevelType w:val="multilevel"/>
    <w:tmpl w:val="B9AC8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4603D2"/>
    <w:multiLevelType w:val="hybridMultilevel"/>
    <w:tmpl w:val="6C5A4D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0148D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1F4C9F"/>
    <w:multiLevelType w:val="hybridMultilevel"/>
    <w:tmpl w:val="1E505A12"/>
    <w:lvl w:ilvl="0" w:tplc="7E2E25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2"/>
  </w:num>
  <w:num w:numId="5">
    <w:abstractNumId w:val="18"/>
  </w:num>
  <w:num w:numId="6">
    <w:abstractNumId w:val="5"/>
  </w:num>
  <w:num w:numId="7">
    <w:abstractNumId w:val="0"/>
  </w:num>
  <w:num w:numId="8">
    <w:abstractNumId w:val="19"/>
  </w:num>
  <w:num w:numId="9">
    <w:abstractNumId w:val="24"/>
  </w:num>
  <w:num w:numId="10">
    <w:abstractNumId w:val="17"/>
  </w:num>
  <w:num w:numId="11">
    <w:abstractNumId w:val="11"/>
  </w:num>
  <w:num w:numId="12">
    <w:abstractNumId w:val="22"/>
  </w:num>
  <w:num w:numId="13">
    <w:abstractNumId w:val="10"/>
  </w:num>
  <w:num w:numId="14">
    <w:abstractNumId w:val="20"/>
  </w:num>
  <w:num w:numId="15">
    <w:abstractNumId w:val="16"/>
  </w:num>
  <w:num w:numId="16">
    <w:abstractNumId w:val="2"/>
  </w:num>
  <w:num w:numId="17">
    <w:abstractNumId w:val="3"/>
  </w:num>
  <w:num w:numId="18">
    <w:abstractNumId w:val="15"/>
  </w:num>
  <w:num w:numId="19">
    <w:abstractNumId w:val="25"/>
  </w:num>
  <w:num w:numId="20">
    <w:abstractNumId w:val="13"/>
  </w:num>
  <w:num w:numId="21">
    <w:abstractNumId w:val="4"/>
  </w:num>
  <w:num w:numId="22">
    <w:abstractNumId w:val="18"/>
    <w:lvlOverride w:ilvl="0">
      <w:lvl w:ilvl="0">
        <w:start w:val="1"/>
        <w:numFmt w:val="decimal"/>
        <w:pStyle w:val="Typografi3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8"/>
  </w:num>
  <w:num w:numId="24">
    <w:abstractNumId w:val="14"/>
  </w:num>
  <w:num w:numId="25">
    <w:abstractNumId w:val="1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7"/>
    <w:rsid w:val="00000806"/>
    <w:rsid w:val="00000BAC"/>
    <w:rsid w:val="00002B16"/>
    <w:rsid w:val="0000482E"/>
    <w:rsid w:val="000061B1"/>
    <w:rsid w:val="000068D9"/>
    <w:rsid w:val="00006D01"/>
    <w:rsid w:val="00010638"/>
    <w:rsid w:val="00012E34"/>
    <w:rsid w:val="0001340B"/>
    <w:rsid w:val="0002093E"/>
    <w:rsid w:val="000212F5"/>
    <w:rsid w:val="00021403"/>
    <w:rsid w:val="00024CFA"/>
    <w:rsid w:val="000305DA"/>
    <w:rsid w:val="0003261F"/>
    <w:rsid w:val="00037B65"/>
    <w:rsid w:val="00037EFF"/>
    <w:rsid w:val="00043743"/>
    <w:rsid w:val="00043DDF"/>
    <w:rsid w:val="00051C36"/>
    <w:rsid w:val="0005306F"/>
    <w:rsid w:val="0005398E"/>
    <w:rsid w:val="00054262"/>
    <w:rsid w:val="00054FF2"/>
    <w:rsid w:val="00061EC9"/>
    <w:rsid w:val="00065FDC"/>
    <w:rsid w:val="000728C2"/>
    <w:rsid w:val="000824DA"/>
    <w:rsid w:val="00083F9E"/>
    <w:rsid w:val="000842D7"/>
    <w:rsid w:val="000844E0"/>
    <w:rsid w:val="00085FEA"/>
    <w:rsid w:val="00091D1F"/>
    <w:rsid w:val="000A0739"/>
    <w:rsid w:val="000A0CE1"/>
    <w:rsid w:val="000A6F40"/>
    <w:rsid w:val="000B2A4B"/>
    <w:rsid w:val="000B3D4D"/>
    <w:rsid w:val="000B57CB"/>
    <w:rsid w:val="000B5DD2"/>
    <w:rsid w:val="000B7137"/>
    <w:rsid w:val="000C2580"/>
    <w:rsid w:val="000C5EBB"/>
    <w:rsid w:val="000C6081"/>
    <w:rsid w:val="000C776E"/>
    <w:rsid w:val="000D03B9"/>
    <w:rsid w:val="000D7EBD"/>
    <w:rsid w:val="000E29CB"/>
    <w:rsid w:val="000F1312"/>
    <w:rsid w:val="000F201D"/>
    <w:rsid w:val="000F2C68"/>
    <w:rsid w:val="000F2CE9"/>
    <w:rsid w:val="000F57C4"/>
    <w:rsid w:val="000F7A67"/>
    <w:rsid w:val="00105636"/>
    <w:rsid w:val="00116BDA"/>
    <w:rsid w:val="001220FF"/>
    <w:rsid w:val="00126BDA"/>
    <w:rsid w:val="00135F0A"/>
    <w:rsid w:val="00140883"/>
    <w:rsid w:val="00143ADF"/>
    <w:rsid w:val="00146845"/>
    <w:rsid w:val="001543C0"/>
    <w:rsid w:val="001564C4"/>
    <w:rsid w:val="00156FC3"/>
    <w:rsid w:val="00161D99"/>
    <w:rsid w:val="00163407"/>
    <w:rsid w:val="00164492"/>
    <w:rsid w:val="00173154"/>
    <w:rsid w:val="00174A1E"/>
    <w:rsid w:val="00185A5B"/>
    <w:rsid w:val="001861FB"/>
    <w:rsid w:val="00190775"/>
    <w:rsid w:val="00191E45"/>
    <w:rsid w:val="001922FA"/>
    <w:rsid w:val="00192AD9"/>
    <w:rsid w:val="001A1809"/>
    <w:rsid w:val="001A3001"/>
    <w:rsid w:val="001A40DC"/>
    <w:rsid w:val="001A501C"/>
    <w:rsid w:val="001A7074"/>
    <w:rsid w:val="001A7084"/>
    <w:rsid w:val="001B0968"/>
    <w:rsid w:val="001B53D6"/>
    <w:rsid w:val="001B665E"/>
    <w:rsid w:val="001C205A"/>
    <w:rsid w:val="001C3DC8"/>
    <w:rsid w:val="001C4661"/>
    <w:rsid w:val="001C475A"/>
    <w:rsid w:val="001E254F"/>
    <w:rsid w:val="001E59EA"/>
    <w:rsid w:val="001F15EB"/>
    <w:rsid w:val="001F30BE"/>
    <w:rsid w:val="001F4FCD"/>
    <w:rsid w:val="001F5038"/>
    <w:rsid w:val="001F6E8B"/>
    <w:rsid w:val="001F7578"/>
    <w:rsid w:val="00204AEE"/>
    <w:rsid w:val="00205CF7"/>
    <w:rsid w:val="002078D3"/>
    <w:rsid w:val="00207E5F"/>
    <w:rsid w:val="00210D7B"/>
    <w:rsid w:val="00213F6F"/>
    <w:rsid w:val="00214CE9"/>
    <w:rsid w:val="00215641"/>
    <w:rsid w:val="00216A3A"/>
    <w:rsid w:val="002200A9"/>
    <w:rsid w:val="00220F27"/>
    <w:rsid w:val="00224D53"/>
    <w:rsid w:val="00226AC1"/>
    <w:rsid w:val="002276CF"/>
    <w:rsid w:val="00232408"/>
    <w:rsid w:val="00233A65"/>
    <w:rsid w:val="00234BA2"/>
    <w:rsid w:val="0023759F"/>
    <w:rsid w:val="00251925"/>
    <w:rsid w:val="00252323"/>
    <w:rsid w:val="0025794C"/>
    <w:rsid w:val="0027253C"/>
    <w:rsid w:val="00277F0C"/>
    <w:rsid w:val="002849CE"/>
    <w:rsid w:val="002856C3"/>
    <w:rsid w:val="00285D29"/>
    <w:rsid w:val="0029401B"/>
    <w:rsid w:val="00295E84"/>
    <w:rsid w:val="002A0135"/>
    <w:rsid w:val="002A67B6"/>
    <w:rsid w:val="002B6DE9"/>
    <w:rsid w:val="002C548E"/>
    <w:rsid w:val="002C606A"/>
    <w:rsid w:val="002C631D"/>
    <w:rsid w:val="002D05B7"/>
    <w:rsid w:val="002E0EA6"/>
    <w:rsid w:val="002E1E62"/>
    <w:rsid w:val="002F7DDD"/>
    <w:rsid w:val="00302870"/>
    <w:rsid w:val="0031378F"/>
    <w:rsid w:val="00315B13"/>
    <w:rsid w:val="003161E7"/>
    <w:rsid w:val="003166A6"/>
    <w:rsid w:val="003210CB"/>
    <w:rsid w:val="00325F1C"/>
    <w:rsid w:val="00326DF4"/>
    <w:rsid w:val="0032740D"/>
    <w:rsid w:val="003315ED"/>
    <w:rsid w:val="00333879"/>
    <w:rsid w:val="00334A7B"/>
    <w:rsid w:val="00335F0C"/>
    <w:rsid w:val="00343405"/>
    <w:rsid w:val="003464B1"/>
    <w:rsid w:val="00352187"/>
    <w:rsid w:val="00355542"/>
    <w:rsid w:val="00356484"/>
    <w:rsid w:val="00357E34"/>
    <w:rsid w:val="00365886"/>
    <w:rsid w:val="0036659A"/>
    <w:rsid w:val="00366853"/>
    <w:rsid w:val="00367F10"/>
    <w:rsid w:val="00367FD8"/>
    <w:rsid w:val="003704A8"/>
    <w:rsid w:val="00371FAE"/>
    <w:rsid w:val="00376B56"/>
    <w:rsid w:val="003770C3"/>
    <w:rsid w:val="003771E3"/>
    <w:rsid w:val="00382117"/>
    <w:rsid w:val="003933F1"/>
    <w:rsid w:val="00395676"/>
    <w:rsid w:val="0039746D"/>
    <w:rsid w:val="0039786F"/>
    <w:rsid w:val="003A0571"/>
    <w:rsid w:val="003A0D67"/>
    <w:rsid w:val="003A0DD3"/>
    <w:rsid w:val="003A42E2"/>
    <w:rsid w:val="003B1EAC"/>
    <w:rsid w:val="003B21FE"/>
    <w:rsid w:val="003B27A2"/>
    <w:rsid w:val="003B5AB3"/>
    <w:rsid w:val="003B5DBF"/>
    <w:rsid w:val="003C05D3"/>
    <w:rsid w:val="003C127E"/>
    <w:rsid w:val="003C4EBA"/>
    <w:rsid w:val="003C6B04"/>
    <w:rsid w:val="003D06F2"/>
    <w:rsid w:val="003D283B"/>
    <w:rsid w:val="003D6AF6"/>
    <w:rsid w:val="003F3A37"/>
    <w:rsid w:val="003F717D"/>
    <w:rsid w:val="0040034B"/>
    <w:rsid w:val="004008BB"/>
    <w:rsid w:val="00402C89"/>
    <w:rsid w:val="004047C7"/>
    <w:rsid w:val="00405880"/>
    <w:rsid w:val="00406466"/>
    <w:rsid w:val="004103AF"/>
    <w:rsid w:val="00416CDF"/>
    <w:rsid w:val="00423AD3"/>
    <w:rsid w:val="00430B0A"/>
    <w:rsid w:val="00435DE4"/>
    <w:rsid w:val="0043619F"/>
    <w:rsid w:val="00440952"/>
    <w:rsid w:val="00447DE6"/>
    <w:rsid w:val="0045119A"/>
    <w:rsid w:val="00452CDA"/>
    <w:rsid w:val="004627B3"/>
    <w:rsid w:val="00462B45"/>
    <w:rsid w:val="004664C8"/>
    <w:rsid w:val="004735EA"/>
    <w:rsid w:val="00474214"/>
    <w:rsid w:val="004748E8"/>
    <w:rsid w:val="004750AF"/>
    <w:rsid w:val="004837D5"/>
    <w:rsid w:val="00486BF5"/>
    <w:rsid w:val="004875C5"/>
    <w:rsid w:val="00495044"/>
    <w:rsid w:val="0049574B"/>
    <w:rsid w:val="004961C7"/>
    <w:rsid w:val="004A492A"/>
    <w:rsid w:val="004B0976"/>
    <w:rsid w:val="004B4489"/>
    <w:rsid w:val="004C0A9E"/>
    <w:rsid w:val="004C132D"/>
    <w:rsid w:val="004C1AA7"/>
    <w:rsid w:val="004C2141"/>
    <w:rsid w:val="004C47A2"/>
    <w:rsid w:val="004C7742"/>
    <w:rsid w:val="004D4C89"/>
    <w:rsid w:val="004D528B"/>
    <w:rsid w:val="004E0519"/>
    <w:rsid w:val="004E0DB3"/>
    <w:rsid w:val="004E3D38"/>
    <w:rsid w:val="004E71AA"/>
    <w:rsid w:val="004F7819"/>
    <w:rsid w:val="00500003"/>
    <w:rsid w:val="005002A2"/>
    <w:rsid w:val="00502C0E"/>
    <w:rsid w:val="0050325D"/>
    <w:rsid w:val="005068A3"/>
    <w:rsid w:val="00510454"/>
    <w:rsid w:val="00511AC5"/>
    <w:rsid w:val="005127C8"/>
    <w:rsid w:val="0051286B"/>
    <w:rsid w:val="00513C86"/>
    <w:rsid w:val="00533414"/>
    <w:rsid w:val="00533434"/>
    <w:rsid w:val="00541D9D"/>
    <w:rsid w:val="00561A9D"/>
    <w:rsid w:val="00573095"/>
    <w:rsid w:val="00581C90"/>
    <w:rsid w:val="00582E83"/>
    <w:rsid w:val="00587E40"/>
    <w:rsid w:val="005904BC"/>
    <w:rsid w:val="005968B5"/>
    <w:rsid w:val="005B0625"/>
    <w:rsid w:val="005B1773"/>
    <w:rsid w:val="005B3427"/>
    <w:rsid w:val="005B3A97"/>
    <w:rsid w:val="005B607F"/>
    <w:rsid w:val="005B60A4"/>
    <w:rsid w:val="005C472D"/>
    <w:rsid w:val="005C4C02"/>
    <w:rsid w:val="005C64A6"/>
    <w:rsid w:val="005D427C"/>
    <w:rsid w:val="005D48A2"/>
    <w:rsid w:val="005D7F81"/>
    <w:rsid w:val="005E7C6A"/>
    <w:rsid w:val="005F0A97"/>
    <w:rsid w:val="005F0C8B"/>
    <w:rsid w:val="005F5EB1"/>
    <w:rsid w:val="00615834"/>
    <w:rsid w:val="00620A6D"/>
    <w:rsid w:val="00620AC3"/>
    <w:rsid w:val="00633ED1"/>
    <w:rsid w:val="00656E44"/>
    <w:rsid w:val="00664A00"/>
    <w:rsid w:val="00665F67"/>
    <w:rsid w:val="00666A05"/>
    <w:rsid w:val="00687ABC"/>
    <w:rsid w:val="00697FC9"/>
    <w:rsid w:val="006A0A57"/>
    <w:rsid w:val="006A2D4D"/>
    <w:rsid w:val="006A76C7"/>
    <w:rsid w:val="006A7C3B"/>
    <w:rsid w:val="006B04B1"/>
    <w:rsid w:val="006B3495"/>
    <w:rsid w:val="006B4724"/>
    <w:rsid w:val="006B57E1"/>
    <w:rsid w:val="006C1949"/>
    <w:rsid w:val="006C3ECA"/>
    <w:rsid w:val="006C4AED"/>
    <w:rsid w:val="006D7769"/>
    <w:rsid w:val="006E2F11"/>
    <w:rsid w:val="00705E3A"/>
    <w:rsid w:val="00706B6C"/>
    <w:rsid w:val="00720CA6"/>
    <w:rsid w:val="00722400"/>
    <w:rsid w:val="007244D6"/>
    <w:rsid w:val="00726D41"/>
    <w:rsid w:val="0073010E"/>
    <w:rsid w:val="0073159F"/>
    <w:rsid w:val="007369F3"/>
    <w:rsid w:val="00742058"/>
    <w:rsid w:val="00751CF1"/>
    <w:rsid w:val="00751E80"/>
    <w:rsid w:val="00756533"/>
    <w:rsid w:val="00761BD9"/>
    <w:rsid w:val="00762557"/>
    <w:rsid w:val="007673D5"/>
    <w:rsid w:val="0077013B"/>
    <w:rsid w:val="00771CAB"/>
    <w:rsid w:val="00772829"/>
    <w:rsid w:val="00772957"/>
    <w:rsid w:val="00775D51"/>
    <w:rsid w:val="007762B9"/>
    <w:rsid w:val="00785B05"/>
    <w:rsid w:val="00786864"/>
    <w:rsid w:val="007870B2"/>
    <w:rsid w:val="00792307"/>
    <w:rsid w:val="0079303C"/>
    <w:rsid w:val="00794037"/>
    <w:rsid w:val="00794F18"/>
    <w:rsid w:val="00796780"/>
    <w:rsid w:val="00796A6E"/>
    <w:rsid w:val="007A40FB"/>
    <w:rsid w:val="007A51B7"/>
    <w:rsid w:val="007A5D53"/>
    <w:rsid w:val="007B3FAA"/>
    <w:rsid w:val="007B443F"/>
    <w:rsid w:val="007B7763"/>
    <w:rsid w:val="007C09E1"/>
    <w:rsid w:val="007C4971"/>
    <w:rsid w:val="007C51FD"/>
    <w:rsid w:val="007C5C7E"/>
    <w:rsid w:val="007C5F09"/>
    <w:rsid w:val="007C640C"/>
    <w:rsid w:val="007C6E10"/>
    <w:rsid w:val="007C7218"/>
    <w:rsid w:val="007D5B17"/>
    <w:rsid w:val="007D626B"/>
    <w:rsid w:val="007D7A29"/>
    <w:rsid w:val="007E1258"/>
    <w:rsid w:val="007E1707"/>
    <w:rsid w:val="007E3279"/>
    <w:rsid w:val="007E3567"/>
    <w:rsid w:val="007E6EF2"/>
    <w:rsid w:val="007F2DAA"/>
    <w:rsid w:val="008017C1"/>
    <w:rsid w:val="008064ED"/>
    <w:rsid w:val="008135AE"/>
    <w:rsid w:val="00815CCF"/>
    <w:rsid w:val="008163A7"/>
    <w:rsid w:val="00816E88"/>
    <w:rsid w:val="00817BB6"/>
    <w:rsid w:val="008244EF"/>
    <w:rsid w:val="008275E5"/>
    <w:rsid w:val="00834B9E"/>
    <w:rsid w:val="00836875"/>
    <w:rsid w:val="008405E6"/>
    <w:rsid w:val="00840760"/>
    <w:rsid w:val="00840BDA"/>
    <w:rsid w:val="00840CD7"/>
    <w:rsid w:val="00842CCA"/>
    <w:rsid w:val="0084644B"/>
    <w:rsid w:val="00850F1A"/>
    <w:rsid w:val="0085106F"/>
    <w:rsid w:val="00853B9B"/>
    <w:rsid w:val="00864DD5"/>
    <w:rsid w:val="008661DF"/>
    <w:rsid w:val="00870E3C"/>
    <w:rsid w:val="008726C5"/>
    <w:rsid w:val="008747F4"/>
    <w:rsid w:val="00875A30"/>
    <w:rsid w:val="00880E67"/>
    <w:rsid w:val="00882975"/>
    <w:rsid w:val="00891056"/>
    <w:rsid w:val="008930A4"/>
    <w:rsid w:val="00895178"/>
    <w:rsid w:val="00895F97"/>
    <w:rsid w:val="008961D0"/>
    <w:rsid w:val="008A1C52"/>
    <w:rsid w:val="008A3FD9"/>
    <w:rsid w:val="008A4BE9"/>
    <w:rsid w:val="008B2460"/>
    <w:rsid w:val="008B48FF"/>
    <w:rsid w:val="008C0146"/>
    <w:rsid w:val="008C10AA"/>
    <w:rsid w:val="008D07DE"/>
    <w:rsid w:val="008D5113"/>
    <w:rsid w:val="008E34A4"/>
    <w:rsid w:val="008F1491"/>
    <w:rsid w:val="008F592C"/>
    <w:rsid w:val="009017BC"/>
    <w:rsid w:val="00903147"/>
    <w:rsid w:val="00904059"/>
    <w:rsid w:val="0090750F"/>
    <w:rsid w:val="00916868"/>
    <w:rsid w:val="00920EDB"/>
    <w:rsid w:val="00927628"/>
    <w:rsid w:val="0093342C"/>
    <w:rsid w:val="00933F46"/>
    <w:rsid w:val="00944CF6"/>
    <w:rsid w:val="0094699F"/>
    <w:rsid w:val="00953BB4"/>
    <w:rsid w:val="00953CBD"/>
    <w:rsid w:val="00954FB2"/>
    <w:rsid w:val="009562D9"/>
    <w:rsid w:val="00957737"/>
    <w:rsid w:val="009634D4"/>
    <w:rsid w:val="00963D9F"/>
    <w:rsid w:val="00964FF4"/>
    <w:rsid w:val="0096691A"/>
    <w:rsid w:val="00966ACD"/>
    <w:rsid w:val="00973161"/>
    <w:rsid w:val="00973250"/>
    <w:rsid w:val="0098546C"/>
    <w:rsid w:val="0099396E"/>
    <w:rsid w:val="00993A83"/>
    <w:rsid w:val="00997C5C"/>
    <w:rsid w:val="009A1E36"/>
    <w:rsid w:val="009A7B4E"/>
    <w:rsid w:val="009B21F1"/>
    <w:rsid w:val="009B43CF"/>
    <w:rsid w:val="009C137B"/>
    <w:rsid w:val="009C1BDF"/>
    <w:rsid w:val="009C2A09"/>
    <w:rsid w:val="009C5DC9"/>
    <w:rsid w:val="009D230C"/>
    <w:rsid w:val="009D2577"/>
    <w:rsid w:val="009D27B1"/>
    <w:rsid w:val="009D4792"/>
    <w:rsid w:val="009D4E82"/>
    <w:rsid w:val="009D504E"/>
    <w:rsid w:val="009D7492"/>
    <w:rsid w:val="009E11DB"/>
    <w:rsid w:val="009F3287"/>
    <w:rsid w:val="009F5749"/>
    <w:rsid w:val="009F7B92"/>
    <w:rsid w:val="00A0307B"/>
    <w:rsid w:val="00A125DC"/>
    <w:rsid w:val="00A12860"/>
    <w:rsid w:val="00A13B31"/>
    <w:rsid w:val="00A14E58"/>
    <w:rsid w:val="00A14EE2"/>
    <w:rsid w:val="00A2386E"/>
    <w:rsid w:val="00A24B3D"/>
    <w:rsid w:val="00A251CD"/>
    <w:rsid w:val="00A30EAD"/>
    <w:rsid w:val="00A31E80"/>
    <w:rsid w:val="00A35092"/>
    <w:rsid w:val="00A37C1C"/>
    <w:rsid w:val="00A409FC"/>
    <w:rsid w:val="00A40B3F"/>
    <w:rsid w:val="00A42D01"/>
    <w:rsid w:val="00A51E56"/>
    <w:rsid w:val="00A53DED"/>
    <w:rsid w:val="00A564E5"/>
    <w:rsid w:val="00A64CA2"/>
    <w:rsid w:val="00A65B2C"/>
    <w:rsid w:val="00A676C0"/>
    <w:rsid w:val="00A702EE"/>
    <w:rsid w:val="00A71E67"/>
    <w:rsid w:val="00A739DE"/>
    <w:rsid w:val="00A73D91"/>
    <w:rsid w:val="00A8375F"/>
    <w:rsid w:val="00A87AFD"/>
    <w:rsid w:val="00A97DE2"/>
    <w:rsid w:val="00AA2B4E"/>
    <w:rsid w:val="00AA4716"/>
    <w:rsid w:val="00AA488B"/>
    <w:rsid w:val="00AA6BBF"/>
    <w:rsid w:val="00AB396F"/>
    <w:rsid w:val="00AB5264"/>
    <w:rsid w:val="00AB5620"/>
    <w:rsid w:val="00AC0AC7"/>
    <w:rsid w:val="00AC1A8C"/>
    <w:rsid w:val="00AC4446"/>
    <w:rsid w:val="00AD00D2"/>
    <w:rsid w:val="00AE565D"/>
    <w:rsid w:val="00AE6D32"/>
    <w:rsid w:val="00AE7969"/>
    <w:rsid w:val="00AF111E"/>
    <w:rsid w:val="00B00DD8"/>
    <w:rsid w:val="00B02C98"/>
    <w:rsid w:val="00B04FE5"/>
    <w:rsid w:val="00B1035F"/>
    <w:rsid w:val="00B15D61"/>
    <w:rsid w:val="00B21E10"/>
    <w:rsid w:val="00B259A8"/>
    <w:rsid w:val="00B279B1"/>
    <w:rsid w:val="00B345D5"/>
    <w:rsid w:val="00B415C2"/>
    <w:rsid w:val="00B42544"/>
    <w:rsid w:val="00B44C80"/>
    <w:rsid w:val="00B4631E"/>
    <w:rsid w:val="00B465CD"/>
    <w:rsid w:val="00B46AA7"/>
    <w:rsid w:val="00B52A58"/>
    <w:rsid w:val="00B60032"/>
    <w:rsid w:val="00B60C95"/>
    <w:rsid w:val="00B62FD1"/>
    <w:rsid w:val="00B671F0"/>
    <w:rsid w:val="00B85A59"/>
    <w:rsid w:val="00B964CD"/>
    <w:rsid w:val="00BA1BD8"/>
    <w:rsid w:val="00BA678E"/>
    <w:rsid w:val="00BA759D"/>
    <w:rsid w:val="00BB27CB"/>
    <w:rsid w:val="00BB346A"/>
    <w:rsid w:val="00BB7FE6"/>
    <w:rsid w:val="00BC405C"/>
    <w:rsid w:val="00BC614D"/>
    <w:rsid w:val="00BC7D2D"/>
    <w:rsid w:val="00BE1083"/>
    <w:rsid w:val="00BE5BEE"/>
    <w:rsid w:val="00BF054D"/>
    <w:rsid w:val="00BF2530"/>
    <w:rsid w:val="00BF4697"/>
    <w:rsid w:val="00BF61DC"/>
    <w:rsid w:val="00BF6CFA"/>
    <w:rsid w:val="00C00A68"/>
    <w:rsid w:val="00C016E8"/>
    <w:rsid w:val="00C035ED"/>
    <w:rsid w:val="00C22887"/>
    <w:rsid w:val="00C22A4C"/>
    <w:rsid w:val="00C24F60"/>
    <w:rsid w:val="00C279A6"/>
    <w:rsid w:val="00C35D15"/>
    <w:rsid w:val="00C36B99"/>
    <w:rsid w:val="00C453B4"/>
    <w:rsid w:val="00C45A6C"/>
    <w:rsid w:val="00C45BDA"/>
    <w:rsid w:val="00C465E9"/>
    <w:rsid w:val="00C4670C"/>
    <w:rsid w:val="00C62E29"/>
    <w:rsid w:val="00C67E5A"/>
    <w:rsid w:val="00C75316"/>
    <w:rsid w:val="00C7539A"/>
    <w:rsid w:val="00C76CFF"/>
    <w:rsid w:val="00C84D64"/>
    <w:rsid w:val="00C863B9"/>
    <w:rsid w:val="00C9308C"/>
    <w:rsid w:val="00C95A04"/>
    <w:rsid w:val="00C95B77"/>
    <w:rsid w:val="00C95E77"/>
    <w:rsid w:val="00CA1A1A"/>
    <w:rsid w:val="00CA4544"/>
    <w:rsid w:val="00CA4606"/>
    <w:rsid w:val="00CA6D98"/>
    <w:rsid w:val="00CB2ADD"/>
    <w:rsid w:val="00CB4490"/>
    <w:rsid w:val="00CB579A"/>
    <w:rsid w:val="00CC14BD"/>
    <w:rsid w:val="00CC34C6"/>
    <w:rsid w:val="00CC3879"/>
    <w:rsid w:val="00CC57A3"/>
    <w:rsid w:val="00CC6859"/>
    <w:rsid w:val="00CD1179"/>
    <w:rsid w:val="00CD1405"/>
    <w:rsid w:val="00CD21A8"/>
    <w:rsid w:val="00CD5E71"/>
    <w:rsid w:val="00CE7536"/>
    <w:rsid w:val="00CF0C93"/>
    <w:rsid w:val="00CF2C5B"/>
    <w:rsid w:val="00D0607F"/>
    <w:rsid w:val="00D06E0F"/>
    <w:rsid w:val="00D1196E"/>
    <w:rsid w:val="00D13CAD"/>
    <w:rsid w:val="00D20335"/>
    <w:rsid w:val="00D236C8"/>
    <w:rsid w:val="00D27703"/>
    <w:rsid w:val="00D34DAE"/>
    <w:rsid w:val="00D36E46"/>
    <w:rsid w:val="00D37349"/>
    <w:rsid w:val="00D37CCC"/>
    <w:rsid w:val="00D40A28"/>
    <w:rsid w:val="00D44F45"/>
    <w:rsid w:val="00D507D6"/>
    <w:rsid w:val="00D578B3"/>
    <w:rsid w:val="00D6063B"/>
    <w:rsid w:val="00D648ED"/>
    <w:rsid w:val="00D747F1"/>
    <w:rsid w:val="00D77093"/>
    <w:rsid w:val="00D80D8C"/>
    <w:rsid w:val="00D82A5E"/>
    <w:rsid w:val="00D83D21"/>
    <w:rsid w:val="00D86C64"/>
    <w:rsid w:val="00D921D8"/>
    <w:rsid w:val="00D92F59"/>
    <w:rsid w:val="00D93EC4"/>
    <w:rsid w:val="00DA25FE"/>
    <w:rsid w:val="00DA5017"/>
    <w:rsid w:val="00DA7603"/>
    <w:rsid w:val="00DB1B41"/>
    <w:rsid w:val="00DB33EF"/>
    <w:rsid w:val="00DB3F94"/>
    <w:rsid w:val="00DB676B"/>
    <w:rsid w:val="00DC2278"/>
    <w:rsid w:val="00DC5DC9"/>
    <w:rsid w:val="00DC736B"/>
    <w:rsid w:val="00DD6F5C"/>
    <w:rsid w:val="00DD6FAC"/>
    <w:rsid w:val="00DE31FC"/>
    <w:rsid w:val="00DF1450"/>
    <w:rsid w:val="00DF2AB7"/>
    <w:rsid w:val="00DF456F"/>
    <w:rsid w:val="00E008B2"/>
    <w:rsid w:val="00E03983"/>
    <w:rsid w:val="00E03C85"/>
    <w:rsid w:val="00E060CD"/>
    <w:rsid w:val="00E226A1"/>
    <w:rsid w:val="00E23F91"/>
    <w:rsid w:val="00E278B2"/>
    <w:rsid w:val="00E315FC"/>
    <w:rsid w:val="00E326AF"/>
    <w:rsid w:val="00E37AFA"/>
    <w:rsid w:val="00E53690"/>
    <w:rsid w:val="00E53980"/>
    <w:rsid w:val="00E540A4"/>
    <w:rsid w:val="00E559C5"/>
    <w:rsid w:val="00E66E3D"/>
    <w:rsid w:val="00E71376"/>
    <w:rsid w:val="00E76394"/>
    <w:rsid w:val="00E86854"/>
    <w:rsid w:val="00EA0A15"/>
    <w:rsid w:val="00EA512A"/>
    <w:rsid w:val="00EA513B"/>
    <w:rsid w:val="00EB19C2"/>
    <w:rsid w:val="00EB484F"/>
    <w:rsid w:val="00EB5DA9"/>
    <w:rsid w:val="00EC0594"/>
    <w:rsid w:val="00EC4E33"/>
    <w:rsid w:val="00EC71A2"/>
    <w:rsid w:val="00ED0B73"/>
    <w:rsid w:val="00ED55E2"/>
    <w:rsid w:val="00EE2A81"/>
    <w:rsid w:val="00EE6639"/>
    <w:rsid w:val="00EF06DA"/>
    <w:rsid w:val="00EF1320"/>
    <w:rsid w:val="00EF42A0"/>
    <w:rsid w:val="00EF53B2"/>
    <w:rsid w:val="00EF6A14"/>
    <w:rsid w:val="00F04CDA"/>
    <w:rsid w:val="00F05929"/>
    <w:rsid w:val="00F06D0F"/>
    <w:rsid w:val="00F1756B"/>
    <w:rsid w:val="00F2133B"/>
    <w:rsid w:val="00F21E6D"/>
    <w:rsid w:val="00F34B4E"/>
    <w:rsid w:val="00F373DD"/>
    <w:rsid w:val="00F40473"/>
    <w:rsid w:val="00F41AAB"/>
    <w:rsid w:val="00F429C9"/>
    <w:rsid w:val="00F57157"/>
    <w:rsid w:val="00F673AF"/>
    <w:rsid w:val="00F71467"/>
    <w:rsid w:val="00F72C0A"/>
    <w:rsid w:val="00F752F4"/>
    <w:rsid w:val="00F76211"/>
    <w:rsid w:val="00F771BD"/>
    <w:rsid w:val="00F85EC6"/>
    <w:rsid w:val="00F87169"/>
    <w:rsid w:val="00F87C1E"/>
    <w:rsid w:val="00F90C28"/>
    <w:rsid w:val="00FA2F6C"/>
    <w:rsid w:val="00FA5A71"/>
    <w:rsid w:val="00FA724F"/>
    <w:rsid w:val="00FA7A22"/>
    <w:rsid w:val="00FB32DB"/>
    <w:rsid w:val="00FB50B2"/>
    <w:rsid w:val="00FC3141"/>
    <w:rsid w:val="00FC4A4C"/>
    <w:rsid w:val="00FD01D2"/>
    <w:rsid w:val="00FD2419"/>
    <w:rsid w:val="00FD2A53"/>
    <w:rsid w:val="00FD4282"/>
    <w:rsid w:val="00FD5E99"/>
    <w:rsid w:val="00FD683F"/>
    <w:rsid w:val="00FE1F3F"/>
    <w:rsid w:val="00FE321E"/>
    <w:rsid w:val="00FE3FE0"/>
    <w:rsid w:val="00FE47DB"/>
    <w:rsid w:val="00FE5F6F"/>
    <w:rsid w:val="00FF1E97"/>
    <w:rsid w:val="00FF4035"/>
    <w:rsid w:val="00FF56D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BA4B8-7520-4EF3-BDB4-5D306C3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7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B27C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rsid w:val="0001340B"/>
    <w:rPr>
      <w:i/>
      <w:iCs/>
    </w:rPr>
  </w:style>
  <w:style w:type="paragraph" w:styleId="Titel">
    <w:name w:val="Title"/>
    <w:basedOn w:val="Normal"/>
    <w:next w:val="Normal"/>
    <w:link w:val="TitelTegn"/>
    <w:rsid w:val="00013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13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sid w:val="000134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01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henvisning">
    <w:name w:val="Subtle Reference"/>
    <w:basedOn w:val="Standardskrifttypeiafsnit"/>
    <w:uiPriority w:val="31"/>
    <w:qFormat/>
    <w:rsid w:val="0001340B"/>
    <w:rPr>
      <w:smallCaps/>
      <w:color w:val="C0504D" w:themeColor="accent2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BB27CB"/>
    <w:rPr>
      <w:rFonts w:ascii="Arial" w:eastAsiaTheme="majorEastAsia" w:hAnsi="Arial" w:cstheme="majorBidi"/>
      <w:b/>
      <w:bCs/>
      <w:color w:val="365F91" w:themeColor="accent1" w:themeShade="BF"/>
      <w:sz w:val="22"/>
      <w:szCs w:val="28"/>
    </w:rPr>
  </w:style>
  <w:style w:type="paragraph" w:styleId="Ingenafstand">
    <w:name w:val="No Spacing"/>
    <w:link w:val="IngenafstandTegn"/>
    <w:uiPriority w:val="1"/>
    <w:qFormat/>
    <w:rsid w:val="007E356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E3567"/>
    <w:rPr>
      <w:rFonts w:asciiTheme="minorHAnsi" w:eastAsiaTheme="minorEastAsia" w:hAnsiTheme="minorHAnsi" w:cstheme="minorBidi"/>
      <w:sz w:val="22"/>
      <w:szCs w:val="22"/>
    </w:rPr>
  </w:style>
  <w:style w:type="paragraph" w:styleId="Listeafsnit">
    <w:name w:val="List Paragraph"/>
    <w:basedOn w:val="Normal"/>
    <w:uiPriority w:val="34"/>
    <w:qFormat/>
    <w:rsid w:val="00295E84"/>
    <w:pPr>
      <w:ind w:left="1304"/>
      <w:jc w:val="both"/>
    </w:pPr>
    <w:rPr>
      <w:rFonts w:ascii="Times New Roman" w:hAnsi="Times New Roman"/>
      <w:sz w:val="24"/>
      <w:lang w:eastAsia="en-US"/>
    </w:rPr>
  </w:style>
  <w:style w:type="paragraph" w:customStyle="1" w:styleId="Typografi1">
    <w:name w:val="Typografi1"/>
    <w:basedOn w:val="Normal"/>
    <w:link w:val="Typografi1Tegn"/>
    <w:autoRedefine/>
    <w:qFormat/>
    <w:rsid w:val="00295E84"/>
    <w:rPr>
      <w:rFonts w:cs="Arial"/>
      <w:szCs w:val="22"/>
    </w:rPr>
  </w:style>
  <w:style w:type="character" w:customStyle="1" w:styleId="Typografi1Tegn">
    <w:name w:val="Typografi1 Tegn"/>
    <w:basedOn w:val="Standardskrifttypeiafsnit"/>
    <w:link w:val="Typografi1"/>
    <w:rsid w:val="00295E84"/>
    <w:rPr>
      <w:rFonts w:ascii="Arial" w:hAnsi="Arial" w:cs="Arial"/>
      <w:sz w:val="22"/>
      <w:szCs w:val="22"/>
    </w:rPr>
  </w:style>
  <w:style w:type="paragraph" w:styleId="Sidehoved">
    <w:name w:val="header"/>
    <w:basedOn w:val="Normal"/>
    <w:link w:val="SidehovedTegn"/>
    <w:unhideWhenUsed/>
    <w:rsid w:val="005968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968B5"/>
    <w:rPr>
      <w:rFonts w:ascii="Arial" w:hAnsi="Arial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968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968B5"/>
    <w:rPr>
      <w:rFonts w:ascii="Arial" w:hAnsi="Arial"/>
      <w:sz w:val="22"/>
      <w:szCs w:val="24"/>
    </w:rPr>
  </w:style>
  <w:style w:type="numbering" w:customStyle="1" w:styleId="Typografi2">
    <w:name w:val="Typografi2"/>
    <w:uiPriority w:val="99"/>
    <w:rsid w:val="007C4971"/>
    <w:pPr>
      <w:numPr>
        <w:numId w:val="11"/>
      </w:numPr>
    </w:pPr>
  </w:style>
  <w:style w:type="character" w:styleId="Kommentarhenvisning">
    <w:name w:val="annotation reference"/>
    <w:basedOn w:val="Standardskrifttypeiafsnit"/>
    <w:semiHidden/>
    <w:unhideWhenUsed/>
    <w:rsid w:val="001B096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1B096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B096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B096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B0968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1B096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B0968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37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1">
    <w:name w:val="Grid Table 1 Light Accent 1"/>
    <w:basedOn w:val="Tabel-Normal"/>
    <w:uiPriority w:val="46"/>
    <w:rsid w:val="000305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ypografi3">
    <w:name w:val="Typografi3"/>
    <w:basedOn w:val="Overskrift1"/>
    <w:link w:val="Typografi3Tegn"/>
    <w:qFormat/>
    <w:rsid w:val="00CC3879"/>
    <w:pPr>
      <w:numPr>
        <w:numId w:val="5"/>
      </w:numPr>
    </w:pPr>
    <w:rPr>
      <w:rFonts w:cs="Arial"/>
      <w:color w:val="auto"/>
      <w:szCs w:val="22"/>
    </w:rPr>
  </w:style>
  <w:style w:type="paragraph" w:customStyle="1" w:styleId="Typografi4">
    <w:name w:val="Typografi4"/>
    <w:basedOn w:val="Normal"/>
    <w:link w:val="Typografi4Tegn"/>
    <w:autoRedefine/>
    <w:qFormat/>
    <w:rsid w:val="00620A6D"/>
  </w:style>
  <w:style w:type="character" w:customStyle="1" w:styleId="Typografi3Tegn">
    <w:name w:val="Typografi3 Tegn"/>
    <w:basedOn w:val="Overskrift1Tegn"/>
    <w:link w:val="Typografi3"/>
    <w:rsid w:val="00CC3879"/>
    <w:rPr>
      <w:rFonts w:ascii="Arial" w:eastAsiaTheme="majorEastAsia" w:hAnsi="Arial" w:cs="Arial"/>
      <w:b/>
      <w:bCs/>
      <w:color w:val="365F91" w:themeColor="accent1" w:themeShade="BF"/>
      <w:sz w:val="22"/>
      <w:szCs w:val="22"/>
    </w:rPr>
  </w:style>
  <w:style w:type="character" w:customStyle="1" w:styleId="Typografi4Tegn">
    <w:name w:val="Typografi4 Tegn"/>
    <w:basedOn w:val="Standardskrifttypeiafsnit"/>
    <w:link w:val="Typografi4"/>
    <w:rsid w:val="00620A6D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161D99"/>
    <w:pPr>
      <w:spacing w:after="150"/>
    </w:pPr>
    <w:rPr>
      <w:rFonts w:ascii="Times New Roman" w:hAnsi="Times New Roman"/>
      <w:sz w:val="24"/>
    </w:rPr>
  </w:style>
  <w:style w:type="paragraph" w:styleId="Fodnotetekst">
    <w:name w:val="footnote text"/>
    <w:basedOn w:val="Normal"/>
    <w:link w:val="FodnotetekstTegn"/>
    <w:semiHidden/>
    <w:unhideWhenUsed/>
    <w:rsid w:val="008244E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8244EF"/>
    <w:rPr>
      <w:rFonts w:ascii="Arial" w:hAnsi="Arial"/>
    </w:rPr>
  </w:style>
  <w:style w:type="character" w:styleId="Fodnotehenvisning">
    <w:name w:val="footnote reference"/>
    <w:basedOn w:val="Standardskrifttypeiafsnit"/>
    <w:semiHidden/>
    <w:unhideWhenUsed/>
    <w:rsid w:val="00824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F805F86FFD4F55B2F5E4EEBED03D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82F1B-8A43-41FE-B744-F9FB87F97BF9}"/>
      </w:docPartPr>
      <w:docPartBody>
        <w:p w:rsidR="00D9626D" w:rsidRDefault="008E765A" w:rsidP="008E765A">
          <w:pPr>
            <w:pStyle w:val="14F805F86FFD4F55B2F5E4EEBED03DE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BED8C6F6BF6E40169987356B677B76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1678F-DB23-4C0D-854E-81F74F51879B}"/>
      </w:docPartPr>
      <w:docPartBody>
        <w:p w:rsidR="00D9626D" w:rsidRDefault="008E765A" w:rsidP="008E765A">
          <w:pPr>
            <w:pStyle w:val="BED8C6F6BF6E40169987356B677B7699"/>
          </w:pPr>
          <w:r>
            <w:rPr>
              <w:color w:val="2E74B5" w:themeColor="accent1" w:themeShade="BF"/>
              <w:sz w:val="24"/>
              <w:szCs w:val="24"/>
            </w:rPr>
            <w:t>[Dokumentets undertitel]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A"/>
    <w:rsid w:val="00006CCC"/>
    <w:rsid w:val="00153A5D"/>
    <w:rsid w:val="001D4A98"/>
    <w:rsid w:val="002216DF"/>
    <w:rsid w:val="00314939"/>
    <w:rsid w:val="006501B4"/>
    <w:rsid w:val="0073062F"/>
    <w:rsid w:val="0078307D"/>
    <w:rsid w:val="00863274"/>
    <w:rsid w:val="008D3A9A"/>
    <w:rsid w:val="008E765A"/>
    <w:rsid w:val="008F2DBA"/>
    <w:rsid w:val="00956698"/>
    <w:rsid w:val="009C78E7"/>
    <w:rsid w:val="00B80781"/>
    <w:rsid w:val="00B928D2"/>
    <w:rsid w:val="00BE1410"/>
    <w:rsid w:val="00D9626D"/>
    <w:rsid w:val="00D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1E9161702244904B8D9A2ABEF46B410">
    <w:name w:val="D1E9161702244904B8D9A2ABEF46B410"/>
    <w:rsid w:val="008E765A"/>
  </w:style>
  <w:style w:type="paragraph" w:customStyle="1" w:styleId="14F805F86FFD4F55B2F5E4EEBED03DE8">
    <w:name w:val="14F805F86FFD4F55B2F5E4EEBED03DE8"/>
    <w:rsid w:val="008E765A"/>
  </w:style>
  <w:style w:type="paragraph" w:customStyle="1" w:styleId="BED8C6F6BF6E40169987356B677B7699">
    <w:name w:val="BED8C6F6BF6E40169987356B677B7699"/>
    <w:rsid w:val="008E765A"/>
  </w:style>
  <w:style w:type="paragraph" w:customStyle="1" w:styleId="C510651D097146E2B587F729E2793D77">
    <w:name w:val="C510651D097146E2B587F729E2793D77"/>
    <w:rsid w:val="008E765A"/>
  </w:style>
  <w:style w:type="paragraph" w:customStyle="1" w:styleId="858D63B42606414E99ADBD2697D95A66">
    <w:name w:val="858D63B42606414E99ADBD2697D95A66"/>
    <w:rsid w:val="008E7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1FB1-5D4B-4163-AF30-F35333CC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2354</Words>
  <Characters>14420</Characters>
  <Application>Microsoft Office Word</Application>
  <DocSecurity>4</DocSecurity>
  <Lines>626</Lines>
  <Paragraphs>541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Budgetforslag 2021-2024</vt:lpstr>
    </vt:vector>
  </TitlesOfParts>
  <Company>Brøndby Kommune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Budgetforslag 2021-2024</dc:title>
  <dc:subject>Budgetnotat 4 – ”Afslutningsfasen”</dc:subject>
  <dc:creator>Anders Junker Pedersen</dc:creator>
  <cp:keywords/>
  <dc:description/>
  <cp:lastModifiedBy>Jacob Thejlman Bruun</cp:lastModifiedBy>
  <cp:revision>2</cp:revision>
  <cp:lastPrinted>2019-10-30T07:51:00Z</cp:lastPrinted>
  <dcterms:created xsi:type="dcterms:W3CDTF">2020-10-22T15:56:00Z</dcterms:created>
  <dcterms:modified xsi:type="dcterms:W3CDTF">2020-10-22T15:56:00Z</dcterms:modified>
</cp:coreProperties>
</file>