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258405945" w:displacedByCustomXml="next"/>
    <w:sdt>
      <w:sdtPr>
        <w:rPr>
          <w:rFonts w:ascii="Arial" w:eastAsia="Times New Roman" w:hAnsi="Arial" w:cs="Times New Roman"/>
          <w:sz w:val="2"/>
          <w:szCs w:val="24"/>
        </w:rPr>
        <w:id w:val="-558165126"/>
        <w:docPartObj>
          <w:docPartGallery w:val="Cover Pages"/>
          <w:docPartUnique/>
        </w:docPartObj>
      </w:sdtPr>
      <w:sdtEndPr>
        <w:rPr>
          <w:b/>
          <w:smallCaps/>
          <w:sz w:val="22"/>
        </w:rPr>
      </w:sdtEndPr>
      <w:sdtContent>
        <w:p w:rsidR="00813143" w:rsidRDefault="00813143">
          <w:pPr>
            <w:pStyle w:val="Ingenafstand"/>
            <w:rPr>
              <w:sz w:val="2"/>
            </w:rPr>
          </w:pPr>
        </w:p>
        <w:p w:rsidR="00813143" w:rsidRDefault="00813143">
          <w:r>
            <w:rPr>
              <w:noProof/>
            </w:rPr>
            <mc:AlternateContent>
              <mc:Choice Requires="wps">
                <w:drawing>
                  <wp:anchor distT="0" distB="0" distL="114300" distR="114300" simplePos="0" relativeHeight="251661824" behindDoc="0" locked="0" layoutInCell="1" allowOverlap="1">
                    <wp:simplePos x="0" y="0"/>
                    <wp:positionH relativeFrom="page">
                      <wp:align>center</wp:align>
                    </wp:positionH>
                    <wp:positionV relativeFrom="margin">
                      <wp:align>top</wp:align>
                    </wp:positionV>
                    <wp:extent cx="5943600" cy="914400"/>
                    <wp:effectExtent l="0" t="0" r="0" b="3810"/>
                    <wp:wrapNone/>
                    <wp:docPr id="62" name="Tekstfelt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48DD4"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137BCC" w:rsidRDefault="009A23AF">
                                    <w:pPr>
                                      <w:pStyle w:val="Ingenafstand"/>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Befolkningsprognose 2020 -2030</w:t>
                                    </w:r>
                                  </w:p>
                                </w:sdtContent>
                              </w:sdt>
                              <w:p w:rsidR="00137BCC" w:rsidRDefault="00177C3C">
                                <w:pPr>
                                  <w:pStyle w:val="Ingenafstand"/>
                                  <w:spacing w:before="120"/>
                                  <w:rPr>
                                    <w:color w:val="4F81BD" w:themeColor="accent1"/>
                                    <w:sz w:val="36"/>
                                    <w:szCs w:val="36"/>
                                  </w:rPr>
                                </w:pPr>
                                <w:sdt>
                                  <w:sdtPr>
                                    <w:rPr>
                                      <w:color w:val="4F81BD" w:themeColor="accent1"/>
                                      <w:sz w:val="36"/>
                                      <w:szCs w:val="36"/>
                                    </w:rPr>
                                    <w:alias w:val="Und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137BCC">
                                      <w:rPr>
                                        <w:color w:val="4F81BD" w:themeColor="accent1"/>
                                        <w:sz w:val="36"/>
                                        <w:szCs w:val="36"/>
                                      </w:rPr>
                                      <w:t>Bilagsdelen</w:t>
                                    </w:r>
                                  </w:sdtContent>
                                </w:sdt>
                                <w:r w:rsidR="00137BCC">
                                  <w:t xml:space="preserve"> </w:t>
                                </w:r>
                              </w:p>
                              <w:p w:rsidR="00137BCC" w:rsidRDefault="00137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kstfelt 62" o:spid="_x0000_s1026" type="#_x0000_t202" style="position:absolute;margin-left:0;margin-top:0;width:468pt;height:1in;z-index:251661824;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" filled="f" stroked="f" strokeweight=".5pt">
                    <v:textbox style="mso-fit-shape-to-text:t">
                      <w:txbxContent>
                        <w:sdt>
                          <w:sdtPr>
                            <w:rPr>
                              <w:rFonts w:asciiTheme="majorHAnsi" w:eastAsiaTheme="majorEastAsia" w:hAnsiTheme="majorHAnsi" w:cstheme="majorBidi"/>
                              <w:caps/>
                              <w:color w:val="548DD4"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137BCC" w:rsidRDefault="009A23AF">
                              <w:pPr>
                                <w:pStyle w:val="Ingenafstand"/>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Befolkningsprognose 2020 -2030</w:t>
                              </w:r>
                            </w:p>
                          </w:sdtContent>
                        </w:sdt>
                        <w:p w:rsidR="00137BCC" w:rsidRDefault="009A23AF">
                          <w:pPr>
                            <w:pStyle w:val="Ingenafstand"/>
                            <w:spacing w:before="120"/>
                            <w:rPr>
                              <w:color w:val="4F81BD" w:themeColor="accent1"/>
                              <w:sz w:val="36"/>
                              <w:szCs w:val="36"/>
                            </w:rPr>
                          </w:pPr>
                          <w:sdt>
                            <w:sdtPr>
                              <w:rPr>
                                <w:color w:val="4F81BD" w:themeColor="accent1"/>
                                <w:sz w:val="36"/>
                                <w:szCs w:val="36"/>
                              </w:rPr>
                              <w:alias w:val="Und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137BCC">
                                <w:rPr>
                                  <w:color w:val="4F81BD" w:themeColor="accent1"/>
                                  <w:sz w:val="36"/>
                                  <w:szCs w:val="36"/>
                                </w:rPr>
                                <w:t>Bilagsdelen</w:t>
                              </w:r>
                            </w:sdtContent>
                          </w:sdt>
                          <w:r w:rsidR="00137BCC">
                            <w:t xml:space="preserve"> </w:t>
                          </w:r>
                        </w:p>
                        <w:p w:rsidR="00137BCC" w:rsidRDefault="00137BCC"/>
                      </w:txbxContent>
                    </v:textbox>
                    <w10:wrap anchorx="page" anchory="margin"/>
                  </v:shape>
                </w:pict>
              </mc:Fallback>
            </mc:AlternateContent>
          </w:r>
          <w:r>
            <w:rPr>
              <w:noProof/>
              <w:color w:val="4F81BD" w:themeColor="accent1"/>
              <w:sz w:val="36"/>
              <w:szCs w:val="36"/>
            </w:rPr>
            <mc:AlternateContent>
              <mc:Choice Requires="wpg">
                <w:drawing>
                  <wp:anchor distT="0" distB="0" distL="114300" distR="114300" simplePos="0" relativeHeight="251658752" behindDoc="1" locked="0" layoutInCell="1" allowOverlap="1">
                    <wp:simplePos x="0" y="0"/>
                    <mc:AlternateContent>
                      <mc:Choice Requires="wp14">
                        <wp:positionH relativeFrom="page">
                          <wp14:pctPosHOffset>22000</wp14:pctPosHOffset>
                        </wp:positionH>
                      </mc:Choice>
                      <mc:Fallback>
                        <wp:positionH relativeFrom="page">
                          <wp:posOffset>1662430</wp:posOffset>
                        </wp:positionH>
                      </mc:Fallback>
                    </mc:AlternateContent>
                    <mc:AlternateContent>
                      <mc:Choice Requires="wp14">
                        <wp:positionV relativeFrom="page">
                          <wp14:pctPosVOffset>30000</wp14:pctPosVOffset>
                        </wp:positionV>
                      </mc:Choice>
                      <mc:Fallback>
                        <wp:positionV relativeFrom="page">
                          <wp:posOffset>3208020</wp:posOffset>
                        </wp:positionV>
                      </mc:Fallback>
                    </mc:AlternateContent>
                    <wp:extent cx="5494369" cy="5696712"/>
                    <wp:effectExtent l="0" t="0" r="0" b="3175"/>
                    <wp:wrapNone/>
                    <wp:docPr id="63" name="Grup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Kombinationstegning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Kombinationstegning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Kombinationstegning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Kombinationstegning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Kombinationstegning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0B0CE445" id="Gruppe 2" o:spid="_x0000_s1026" style="position:absolute;margin-left:0;margin-top:0;width:432.65pt;height:448.55pt;z-index:-251657728;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">
                    <o:lock v:ext="edit" aspectratio="t"/>
                    <v:shape id="Kombinationstegning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Kombinationstegning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Kombinationstegning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Kombinationstegning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Kombinationstegning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align>center</wp:align>
                    </wp:positionH>
                    <wp:positionV relativeFrom="margin">
                      <wp:align>bottom</wp:align>
                    </wp:positionV>
                    <wp:extent cx="5943600" cy="374904"/>
                    <wp:effectExtent l="0" t="0" r="0" b="2540"/>
                    <wp:wrapNone/>
                    <wp:docPr id="69" name="Tekstfelt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7BCC" w:rsidRDefault="00177C3C">
                                <w:pPr>
                                  <w:pStyle w:val="Ingenafstand"/>
                                  <w:jc w:val="right"/>
                                  <w:rPr>
                                    <w:color w:val="4F81BD" w:themeColor="accent1"/>
                                    <w:sz w:val="36"/>
                                    <w:szCs w:val="36"/>
                                  </w:rPr>
                                </w:pPr>
                                <w:sdt>
                                  <w:sdtPr>
                                    <w:rPr>
                                      <w:color w:val="4F81BD" w:themeColor="accent1"/>
                                      <w:sz w:val="36"/>
                                      <w:szCs w:val="36"/>
                                    </w:rPr>
                                    <w:alias w:val="Skole"/>
                                    <w:tag w:val="Skole"/>
                                    <w:id w:val="1850680582"/>
                                    <w:dataBinding w:prefixMappings="xmlns:ns0='http://schemas.openxmlformats.org/officeDocument/2006/extended-properties' " w:xpath="/ns0:Properties[1]/ns0:Company[1]" w:storeItemID="{6668398D-A668-4E3E-A5EB-62B293D839F1}"/>
                                    <w:text/>
                                  </w:sdtPr>
                                  <w:sdtEndPr/>
                                  <w:sdtContent>
                                    <w:r w:rsidR="00137BCC">
                                      <w:rPr>
                                        <w:color w:val="4F81BD" w:themeColor="accent1"/>
                                        <w:sz w:val="36"/>
                                        <w:szCs w:val="36"/>
                                      </w:rPr>
                                      <w:t>Brøndby Kommune</w:t>
                                    </w:r>
                                  </w:sdtContent>
                                </w:sdt>
                              </w:p>
                              <w:sdt>
                                <w:sdtPr>
                                  <w:rPr>
                                    <w:color w:val="4F81BD" w:themeColor="accent1"/>
                                    <w:sz w:val="36"/>
                                    <w:szCs w:val="36"/>
                                  </w:rPr>
                                  <w:alias w:val="Kursus"/>
                                  <w:tag w:val="Kursu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137BCC" w:rsidRDefault="00137BCC">
                                    <w:pPr>
                                      <w:pStyle w:val="Ingenafstand"/>
                                      <w:jc w:val="right"/>
                                      <w:rPr>
                                        <w:color w:val="4F81BD" w:themeColor="accent1"/>
                                        <w:sz w:val="36"/>
                                        <w:szCs w:val="36"/>
                                      </w:rPr>
                                    </w:pPr>
                                    <w:r>
                                      <w:rPr>
                                        <w:color w:val="4F81BD"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Tekstfelt 69" o:spid="_x0000_s1027" type="#_x0000_t202" style="position:absolute;margin-left:0;margin-top:0;width:468pt;height:29.5pt;z-index:25165568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" filled="f" stroked="f" strokeweight=".5pt">
                    <v:textbox style="mso-fit-shape-to-text:t" inset="0,0,0,0">
                      <w:txbxContent>
                        <w:p w:rsidR="00137BCC" w:rsidRDefault="00137BCC">
                          <w:pPr>
                            <w:pStyle w:val="Ingenafstand"/>
                            <w:jc w:val="right"/>
                            <w:rPr>
                              <w:color w:val="4F81BD" w:themeColor="accent1"/>
                              <w:sz w:val="36"/>
                              <w:szCs w:val="36"/>
                            </w:rPr>
                          </w:pPr>
                          <w:sdt>
                            <w:sdtPr>
                              <w:rPr>
                                <w:color w:val="4F81BD" w:themeColor="accent1"/>
                                <w:sz w:val="36"/>
                                <w:szCs w:val="36"/>
                              </w:rPr>
                              <w:alias w:val="Skole"/>
                              <w:tag w:val="Skole"/>
                              <w:id w:val="1850680582"/>
                              <w:dataBinding w:prefixMappings="xmlns:ns0='http://schemas.openxmlformats.org/officeDocument/2006/extended-properties' " w:xpath="/ns0:Properties[1]/ns0:Company[1]" w:storeItemID="{6668398D-A668-4E3E-A5EB-62B293D839F1}"/>
                              <w:text/>
                            </w:sdtPr>
                            <w:sdtContent>
                              <w:r>
                                <w:rPr>
                                  <w:color w:val="4F81BD" w:themeColor="accent1"/>
                                  <w:sz w:val="36"/>
                                  <w:szCs w:val="36"/>
                                </w:rPr>
                                <w:t>Brøndby Kommune</w:t>
                              </w:r>
                            </w:sdtContent>
                          </w:sdt>
                        </w:p>
                        <w:sdt>
                          <w:sdtPr>
                            <w:rPr>
                              <w:color w:val="4F81BD" w:themeColor="accent1"/>
                              <w:sz w:val="36"/>
                              <w:szCs w:val="36"/>
                            </w:rPr>
                            <w:alias w:val="Kursus"/>
                            <w:tag w:val="Kursus"/>
                            <w:id w:val="1717703537"/>
                            <w:showingPlcHdr/>
                            <w:dataBinding w:prefixMappings="xmlns:ns0='http://purl.org/dc/elements/1.1/' xmlns:ns1='http://schemas.openxmlformats.org/package/2006/metadata/core-properties' " w:xpath="/ns1:coreProperties[1]/ns1:category[1]" w:storeItemID="{6C3C8BC8-F283-45AE-878A-BAB7291924A1}"/>
                            <w:text/>
                          </w:sdtPr>
                          <w:sdtContent>
                            <w:p w:rsidR="00137BCC" w:rsidRDefault="00137BCC">
                              <w:pPr>
                                <w:pStyle w:val="Ingenafstand"/>
                                <w:jc w:val="right"/>
                                <w:rPr>
                                  <w:color w:val="4F81BD" w:themeColor="accent1"/>
                                  <w:sz w:val="36"/>
                                  <w:szCs w:val="36"/>
                                </w:rPr>
                              </w:pPr>
                              <w:r>
                                <w:rPr>
                                  <w:color w:val="4F81BD" w:themeColor="accent1"/>
                                  <w:sz w:val="36"/>
                                  <w:szCs w:val="36"/>
                                </w:rPr>
                                <w:t xml:space="preserve">     </w:t>
                              </w:r>
                            </w:p>
                          </w:sdtContent>
                        </w:sdt>
                      </w:txbxContent>
                    </v:textbox>
                    <w10:wrap anchorx="page" anchory="margin"/>
                  </v:shape>
                </w:pict>
              </mc:Fallback>
            </mc:AlternateContent>
          </w:r>
        </w:p>
        <w:p w:rsidR="00813143" w:rsidRDefault="00813143">
          <w:r>
            <w:rPr>
              <w:b/>
              <w:smallCaps/>
            </w:rPr>
            <w:br w:type="page"/>
          </w:r>
        </w:p>
      </w:sdtContent>
    </w:sdt>
    <w:p w:rsidR="006D04C4" w:rsidRDefault="006D04C4" w:rsidP="00204EA5">
      <w:pPr>
        <w:pStyle w:val="Indholdsfortegnelse1"/>
      </w:pPr>
    </w:p>
    <w:p w:rsidR="006D04C4" w:rsidRDefault="006D04C4" w:rsidP="00204EA5">
      <w:pPr>
        <w:pStyle w:val="Indholdsfortegnelse1"/>
      </w:pPr>
    </w:p>
    <w:p w:rsidR="005C5BB7" w:rsidRPr="005C5BB7" w:rsidRDefault="00204EA5">
      <w:pPr>
        <w:pStyle w:val="Indholdsfortegnelse1"/>
        <w:rPr>
          <w:rFonts w:ascii="Arial" w:eastAsiaTheme="minorEastAsia" w:hAnsi="Arial" w:cs="Arial"/>
          <w:b w:val="0"/>
          <w:smallCaps w:val="0"/>
          <w:color w:val="auto"/>
          <w:sz w:val="22"/>
          <w:szCs w:val="22"/>
          <w:lang w:eastAsia="da-DK"/>
        </w:rPr>
      </w:pPr>
      <w:r w:rsidRPr="005C5BB7">
        <w:rPr>
          <w:rFonts w:ascii="Arial" w:hAnsi="Arial" w:cs="Arial"/>
          <w:bCs/>
          <w:color w:val="auto"/>
          <w:sz w:val="22"/>
          <w:szCs w:val="22"/>
          <w:highlight w:val="yellow"/>
        </w:rPr>
        <w:fldChar w:fldCharType="begin"/>
      </w:r>
      <w:r w:rsidRPr="005C5BB7">
        <w:rPr>
          <w:rFonts w:ascii="Arial" w:hAnsi="Arial" w:cs="Arial"/>
          <w:bCs/>
          <w:color w:val="auto"/>
          <w:sz w:val="22"/>
          <w:szCs w:val="22"/>
          <w:highlight w:val="yellow"/>
        </w:rPr>
        <w:instrText xml:space="preserve"> TOC \o "1-3" \h \z \u </w:instrText>
      </w:r>
      <w:r w:rsidRPr="005C5BB7">
        <w:rPr>
          <w:rFonts w:ascii="Arial" w:hAnsi="Arial" w:cs="Arial"/>
          <w:bCs/>
          <w:color w:val="auto"/>
          <w:sz w:val="22"/>
          <w:szCs w:val="22"/>
          <w:highlight w:val="yellow"/>
        </w:rPr>
        <w:fldChar w:fldCharType="separate"/>
      </w:r>
      <w:hyperlink w:anchor="_Toc38361223" w:history="1">
        <w:r w:rsidR="005C5BB7" w:rsidRPr="005C5BB7">
          <w:rPr>
            <w:rStyle w:val="Hyperlink"/>
            <w:rFonts w:ascii="Arial" w:hAnsi="Arial" w:cs="Arial"/>
            <w:sz w:val="22"/>
            <w:szCs w:val="22"/>
          </w:rPr>
          <w:t>1</w:t>
        </w:r>
        <w:r w:rsidR="005C5BB7" w:rsidRPr="005C5BB7">
          <w:rPr>
            <w:rFonts w:ascii="Arial" w:eastAsiaTheme="minorEastAsia" w:hAnsi="Arial" w:cs="Arial"/>
            <w:b w:val="0"/>
            <w:smallCaps w:val="0"/>
            <w:color w:val="auto"/>
            <w:sz w:val="22"/>
            <w:szCs w:val="22"/>
            <w:lang w:eastAsia="da-DK"/>
          </w:rPr>
          <w:tab/>
        </w:r>
        <w:r w:rsidR="005C5BB7" w:rsidRPr="005C5BB7">
          <w:rPr>
            <w:rStyle w:val="Hyperlink"/>
            <w:rFonts w:ascii="Arial" w:hAnsi="Arial" w:cs="Arial"/>
            <w:sz w:val="22"/>
            <w:szCs w:val="22"/>
          </w:rPr>
          <w:t>Indledning</w:t>
        </w:r>
        <w:r w:rsidR="005C5BB7" w:rsidRPr="005C5BB7">
          <w:rPr>
            <w:rFonts w:ascii="Arial" w:hAnsi="Arial" w:cs="Arial"/>
            <w:webHidden/>
            <w:sz w:val="22"/>
            <w:szCs w:val="22"/>
          </w:rPr>
          <w:tab/>
        </w:r>
        <w:r w:rsidR="005C5BB7" w:rsidRPr="005C5BB7">
          <w:rPr>
            <w:rFonts w:ascii="Arial" w:hAnsi="Arial" w:cs="Arial"/>
            <w:webHidden/>
            <w:sz w:val="22"/>
            <w:szCs w:val="22"/>
          </w:rPr>
          <w:fldChar w:fldCharType="begin"/>
        </w:r>
        <w:r w:rsidR="005C5BB7" w:rsidRPr="005C5BB7">
          <w:rPr>
            <w:rFonts w:ascii="Arial" w:hAnsi="Arial" w:cs="Arial"/>
            <w:webHidden/>
            <w:sz w:val="22"/>
            <w:szCs w:val="22"/>
          </w:rPr>
          <w:instrText xml:space="preserve"> PAGEREF _Toc38361223 \h </w:instrText>
        </w:r>
        <w:r w:rsidR="005C5BB7" w:rsidRPr="005C5BB7">
          <w:rPr>
            <w:rFonts w:ascii="Arial" w:hAnsi="Arial" w:cs="Arial"/>
            <w:webHidden/>
            <w:sz w:val="22"/>
            <w:szCs w:val="22"/>
          </w:rPr>
        </w:r>
        <w:r w:rsidR="005C5BB7" w:rsidRPr="005C5BB7">
          <w:rPr>
            <w:rFonts w:ascii="Arial" w:hAnsi="Arial" w:cs="Arial"/>
            <w:webHidden/>
            <w:sz w:val="22"/>
            <w:szCs w:val="22"/>
          </w:rPr>
          <w:fldChar w:fldCharType="separate"/>
        </w:r>
        <w:r w:rsidR="009A23AF">
          <w:rPr>
            <w:rFonts w:ascii="Arial" w:hAnsi="Arial" w:cs="Arial"/>
            <w:webHidden/>
            <w:sz w:val="22"/>
            <w:szCs w:val="22"/>
          </w:rPr>
          <w:t>2</w:t>
        </w:r>
        <w:r w:rsidR="005C5BB7" w:rsidRPr="005C5BB7">
          <w:rPr>
            <w:rFonts w:ascii="Arial" w:hAnsi="Arial" w:cs="Arial"/>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24" w:history="1">
        <w:r w:rsidR="005C5BB7" w:rsidRPr="005C5BB7">
          <w:rPr>
            <w:rStyle w:val="Hyperlink"/>
            <w:rFonts w:ascii="Arial" w:hAnsi="Arial" w:cs="Arial"/>
            <w:noProof/>
            <w:sz w:val="22"/>
            <w:szCs w:val="22"/>
          </w:rPr>
          <w:t>1.1</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Rapportens opbygning</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_Toc38361224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2</w:t>
        </w:r>
        <w:r w:rsidR="005C5BB7" w:rsidRPr="005C5BB7">
          <w:rPr>
            <w:rFonts w:ascii="Arial" w:hAnsi="Arial" w:cs="Arial"/>
            <w:noProof/>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25" w:history="1">
        <w:r w:rsidR="005C5BB7" w:rsidRPr="005C5BB7">
          <w:rPr>
            <w:rStyle w:val="Hyperlink"/>
            <w:rFonts w:ascii="Arial" w:hAnsi="Arial" w:cs="Arial"/>
            <w:noProof/>
            <w:sz w:val="22"/>
            <w:szCs w:val="22"/>
          </w:rPr>
          <w:t>1.2</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Udgangspunkt og tendenser for befolkningsprognosen</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_Toc38361225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2</w:t>
        </w:r>
        <w:r w:rsidR="005C5BB7" w:rsidRPr="005C5BB7">
          <w:rPr>
            <w:rFonts w:ascii="Arial" w:hAnsi="Arial" w:cs="Arial"/>
            <w:noProof/>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26" w:history="1">
        <w:r w:rsidR="005C5BB7" w:rsidRPr="005C5BB7">
          <w:rPr>
            <w:rStyle w:val="Hyperlink"/>
            <w:rFonts w:ascii="Arial" w:hAnsi="Arial" w:cs="Arial"/>
            <w:noProof/>
            <w:sz w:val="22"/>
            <w:szCs w:val="22"/>
          </w:rPr>
          <w:t>1.3</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Strukturreformer og forståelsen af prognosen</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_Toc38361226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3</w:t>
        </w:r>
        <w:r w:rsidR="005C5BB7" w:rsidRPr="005C5BB7">
          <w:rPr>
            <w:rFonts w:ascii="Arial" w:hAnsi="Arial" w:cs="Arial"/>
            <w:noProof/>
            <w:webHidden/>
            <w:sz w:val="22"/>
            <w:szCs w:val="22"/>
          </w:rPr>
          <w:fldChar w:fldCharType="end"/>
        </w:r>
      </w:hyperlink>
    </w:p>
    <w:p w:rsidR="005C5BB7" w:rsidRPr="005C5BB7" w:rsidRDefault="00177C3C">
      <w:pPr>
        <w:pStyle w:val="Indholdsfortegnelse1"/>
        <w:rPr>
          <w:rFonts w:ascii="Arial" w:eastAsiaTheme="minorEastAsia" w:hAnsi="Arial" w:cs="Arial"/>
          <w:b w:val="0"/>
          <w:smallCaps w:val="0"/>
          <w:color w:val="auto"/>
          <w:sz w:val="22"/>
          <w:szCs w:val="22"/>
          <w:lang w:eastAsia="da-DK"/>
        </w:rPr>
      </w:pPr>
      <w:hyperlink w:anchor="_Toc38361227" w:history="1">
        <w:r w:rsidR="005C5BB7" w:rsidRPr="005C5BB7">
          <w:rPr>
            <w:rStyle w:val="Hyperlink"/>
            <w:rFonts w:ascii="Arial" w:hAnsi="Arial" w:cs="Arial"/>
            <w:sz w:val="22"/>
            <w:szCs w:val="22"/>
          </w:rPr>
          <w:t>2</w:t>
        </w:r>
        <w:r w:rsidR="005C5BB7" w:rsidRPr="005C5BB7">
          <w:rPr>
            <w:rFonts w:ascii="Arial" w:eastAsiaTheme="minorEastAsia" w:hAnsi="Arial" w:cs="Arial"/>
            <w:b w:val="0"/>
            <w:smallCaps w:val="0"/>
            <w:color w:val="auto"/>
            <w:sz w:val="22"/>
            <w:szCs w:val="22"/>
            <w:lang w:eastAsia="da-DK"/>
          </w:rPr>
          <w:tab/>
        </w:r>
        <w:r w:rsidR="005C5BB7" w:rsidRPr="005C5BB7">
          <w:rPr>
            <w:rStyle w:val="Hyperlink"/>
            <w:rFonts w:ascii="Arial" w:hAnsi="Arial" w:cs="Arial"/>
            <w:sz w:val="22"/>
            <w:szCs w:val="22"/>
          </w:rPr>
          <w:t>Prognosemodellen</w:t>
        </w:r>
        <w:r w:rsidR="005C5BB7" w:rsidRPr="005C5BB7">
          <w:rPr>
            <w:rFonts w:ascii="Arial" w:hAnsi="Arial" w:cs="Arial"/>
            <w:webHidden/>
            <w:sz w:val="22"/>
            <w:szCs w:val="22"/>
          </w:rPr>
          <w:tab/>
        </w:r>
        <w:r w:rsidR="005C5BB7" w:rsidRPr="005C5BB7">
          <w:rPr>
            <w:rFonts w:ascii="Arial" w:hAnsi="Arial" w:cs="Arial"/>
            <w:webHidden/>
            <w:sz w:val="22"/>
            <w:szCs w:val="22"/>
          </w:rPr>
          <w:fldChar w:fldCharType="begin"/>
        </w:r>
        <w:r w:rsidR="005C5BB7" w:rsidRPr="005C5BB7">
          <w:rPr>
            <w:rFonts w:ascii="Arial" w:hAnsi="Arial" w:cs="Arial"/>
            <w:webHidden/>
            <w:sz w:val="22"/>
            <w:szCs w:val="22"/>
          </w:rPr>
          <w:instrText xml:space="preserve"> PAGEREF _Toc38361227 \h </w:instrText>
        </w:r>
        <w:r w:rsidR="005C5BB7" w:rsidRPr="005C5BB7">
          <w:rPr>
            <w:rFonts w:ascii="Arial" w:hAnsi="Arial" w:cs="Arial"/>
            <w:webHidden/>
            <w:sz w:val="22"/>
            <w:szCs w:val="22"/>
          </w:rPr>
        </w:r>
        <w:r w:rsidR="005C5BB7" w:rsidRPr="005C5BB7">
          <w:rPr>
            <w:rFonts w:ascii="Arial" w:hAnsi="Arial" w:cs="Arial"/>
            <w:webHidden/>
            <w:sz w:val="22"/>
            <w:szCs w:val="22"/>
          </w:rPr>
          <w:fldChar w:fldCharType="separate"/>
        </w:r>
        <w:r w:rsidR="009A23AF">
          <w:rPr>
            <w:rFonts w:ascii="Arial" w:hAnsi="Arial" w:cs="Arial"/>
            <w:webHidden/>
            <w:sz w:val="22"/>
            <w:szCs w:val="22"/>
          </w:rPr>
          <w:t>5</w:t>
        </w:r>
        <w:r w:rsidR="005C5BB7" w:rsidRPr="005C5BB7">
          <w:rPr>
            <w:rFonts w:ascii="Arial" w:hAnsi="Arial" w:cs="Arial"/>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28" w:history="1">
        <w:r w:rsidR="005C5BB7" w:rsidRPr="005C5BB7">
          <w:rPr>
            <w:rStyle w:val="Hyperlink"/>
            <w:rFonts w:ascii="Arial" w:hAnsi="Arial" w:cs="Arial"/>
            <w:noProof/>
            <w:sz w:val="22"/>
            <w:szCs w:val="22"/>
          </w:rPr>
          <w:t>2.1</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Indledning</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_Toc38361228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5</w:t>
        </w:r>
        <w:r w:rsidR="005C5BB7" w:rsidRPr="005C5BB7">
          <w:rPr>
            <w:rFonts w:ascii="Arial" w:hAnsi="Arial" w:cs="Arial"/>
            <w:noProof/>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29" w:history="1">
        <w:r w:rsidR="005C5BB7" w:rsidRPr="005C5BB7">
          <w:rPr>
            <w:rStyle w:val="Hyperlink"/>
            <w:rFonts w:ascii="Arial" w:hAnsi="Arial" w:cs="Arial"/>
            <w:noProof/>
            <w:sz w:val="22"/>
            <w:szCs w:val="22"/>
          </w:rPr>
          <w:t>2.2</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Hovedforudsætninger</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_Toc38361229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5</w:t>
        </w:r>
        <w:r w:rsidR="005C5BB7" w:rsidRPr="005C5BB7">
          <w:rPr>
            <w:rFonts w:ascii="Arial" w:hAnsi="Arial" w:cs="Arial"/>
            <w:noProof/>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30" w:history="1">
        <w:r w:rsidR="005C5BB7" w:rsidRPr="005C5BB7">
          <w:rPr>
            <w:rStyle w:val="Hyperlink"/>
            <w:rFonts w:ascii="Arial" w:hAnsi="Arial" w:cs="Arial"/>
            <w:noProof/>
            <w:sz w:val="22"/>
            <w:szCs w:val="22"/>
          </w:rPr>
          <w:t>2.3</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Forklaring af modellens beregningsprincip/beregningsmetode</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_Toc38361230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6</w:t>
        </w:r>
        <w:r w:rsidR="005C5BB7" w:rsidRPr="005C5BB7">
          <w:rPr>
            <w:rFonts w:ascii="Arial" w:hAnsi="Arial" w:cs="Arial"/>
            <w:noProof/>
            <w:webHidden/>
            <w:sz w:val="22"/>
            <w:szCs w:val="22"/>
          </w:rPr>
          <w:fldChar w:fldCharType="end"/>
        </w:r>
      </w:hyperlink>
    </w:p>
    <w:p w:rsidR="005C5BB7" w:rsidRPr="005C5BB7" w:rsidRDefault="00177C3C">
      <w:pPr>
        <w:pStyle w:val="Indholdsfortegnelse2"/>
        <w:rPr>
          <w:rFonts w:ascii="Arial" w:eastAsiaTheme="minorEastAsia" w:hAnsi="Arial" w:cs="Arial"/>
          <w:smallCaps w:val="0"/>
          <w:noProof/>
          <w:sz w:val="22"/>
          <w:szCs w:val="22"/>
          <w:lang w:eastAsia="da-DK"/>
        </w:rPr>
      </w:pPr>
      <w:hyperlink w:anchor="_Toc38361231" w:history="1">
        <w:r w:rsidR="005C5BB7" w:rsidRPr="005C5BB7">
          <w:rPr>
            <w:rStyle w:val="Hyperlink"/>
            <w:rFonts w:ascii="Arial" w:hAnsi="Arial" w:cs="Arial"/>
            <w:noProof/>
            <w:sz w:val="22"/>
            <w:szCs w:val="22"/>
          </w:rPr>
          <w:t>2.4</w:t>
        </w:r>
        <w:r w:rsidR="005C5BB7" w:rsidRPr="005C5BB7">
          <w:rPr>
            <w:rFonts w:ascii="Arial" w:eastAsiaTheme="minorEastAsia" w:hAnsi="Arial" w:cs="Arial"/>
            <w:smallCaps w:val="0"/>
            <w:noProof/>
            <w:sz w:val="22"/>
            <w:szCs w:val="22"/>
            <w:lang w:eastAsia="da-DK"/>
          </w:rPr>
          <w:tab/>
        </w:r>
        <w:r w:rsidR="005C5BB7" w:rsidRPr="005C5BB7">
          <w:rPr>
            <w:rStyle w:val="Hyperlink"/>
            <w:rFonts w:ascii="Arial" w:hAnsi="Arial" w:cs="Arial"/>
            <w:noProof/>
            <w:sz w:val="22"/>
            <w:szCs w:val="22"/>
          </w:rPr>
          <w:t>Forudsætninger</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_Toc38361231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6</w:t>
        </w:r>
        <w:r w:rsidR="005C5BB7" w:rsidRPr="005C5BB7">
          <w:rPr>
            <w:rFonts w:ascii="Arial" w:hAnsi="Arial" w:cs="Arial"/>
            <w:noProof/>
            <w:webHidden/>
            <w:sz w:val="22"/>
            <w:szCs w:val="22"/>
          </w:rPr>
          <w:fldChar w:fldCharType="end"/>
        </w:r>
      </w:hyperlink>
    </w:p>
    <w:p w:rsidR="005C5BB7" w:rsidRPr="005C5BB7" w:rsidRDefault="00177C3C">
      <w:pPr>
        <w:pStyle w:val="Indholdsfortegnelse3"/>
        <w:tabs>
          <w:tab w:val="left" w:pos="1320"/>
          <w:tab w:val="right" w:leader="dot" w:pos="9629"/>
        </w:tabs>
        <w:rPr>
          <w:rFonts w:ascii="Arial" w:eastAsiaTheme="minorEastAsia" w:hAnsi="Arial" w:cs="Arial"/>
          <w:noProof/>
          <w:sz w:val="22"/>
          <w:szCs w:val="22"/>
          <w:lang w:eastAsia="da-DK"/>
        </w:rPr>
      </w:pPr>
      <w:hyperlink w:anchor="_Toc38361232" w:history="1">
        <w:r w:rsidR="005C5BB7" w:rsidRPr="005C5BB7">
          <w:rPr>
            <w:rStyle w:val="Hyperlink"/>
            <w:rFonts w:ascii="Arial" w:hAnsi="Arial" w:cs="Arial"/>
            <w:noProof/>
            <w:sz w:val="22"/>
            <w:szCs w:val="22"/>
          </w:rPr>
          <w:t>2.4.1</w:t>
        </w:r>
        <w:r w:rsidR="005C5BB7" w:rsidRPr="005C5BB7">
          <w:rPr>
            <w:rFonts w:ascii="Arial" w:eastAsiaTheme="minorEastAsia" w:hAnsi="Arial" w:cs="Arial"/>
            <w:noProof/>
            <w:sz w:val="22"/>
            <w:szCs w:val="22"/>
            <w:lang w:eastAsia="da-DK"/>
          </w:rPr>
          <w:tab/>
        </w:r>
        <w:r w:rsidR="005C5BB7" w:rsidRPr="005C5BB7">
          <w:rPr>
            <w:rStyle w:val="Hyperlink"/>
            <w:rFonts w:ascii="Arial" w:hAnsi="Arial" w:cs="Arial"/>
            <w:noProof/>
            <w:sz w:val="22"/>
            <w:szCs w:val="22"/>
          </w:rPr>
          <w:t>Vægtninger</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_Toc38361232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6</w:t>
        </w:r>
        <w:r w:rsidR="005C5BB7" w:rsidRPr="005C5BB7">
          <w:rPr>
            <w:rFonts w:ascii="Arial" w:hAnsi="Arial" w:cs="Arial"/>
            <w:noProof/>
            <w:webHidden/>
            <w:sz w:val="22"/>
            <w:szCs w:val="22"/>
          </w:rPr>
          <w:fldChar w:fldCharType="end"/>
        </w:r>
      </w:hyperlink>
    </w:p>
    <w:p w:rsidR="005C5BB7" w:rsidRPr="005C5BB7" w:rsidRDefault="00177C3C">
      <w:pPr>
        <w:pStyle w:val="Indholdsfortegnelse3"/>
        <w:tabs>
          <w:tab w:val="left" w:pos="1320"/>
          <w:tab w:val="right" w:leader="dot" w:pos="9629"/>
        </w:tabs>
        <w:rPr>
          <w:rFonts w:ascii="Arial" w:eastAsiaTheme="minorEastAsia" w:hAnsi="Arial" w:cs="Arial"/>
          <w:noProof/>
          <w:sz w:val="22"/>
          <w:szCs w:val="22"/>
          <w:lang w:eastAsia="da-DK"/>
        </w:rPr>
      </w:pPr>
      <w:hyperlink w:anchor="_Toc38361233" w:history="1">
        <w:r w:rsidR="005C5BB7" w:rsidRPr="005C5BB7">
          <w:rPr>
            <w:rStyle w:val="Hyperlink"/>
            <w:rFonts w:ascii="Arial" w:hAnsi="Arial" w:cs="Arial"/>
            <w:noProof/>
            <w:sz w:val="22"/>
            <w:szCs w:val="22"/>
          </w:rPr>
          <w:t>2.4.2</w:t>
        </w:r>
        <w:r w:rsidR="005C5BB7" w:rsidRPr="005C5BB7">
          <w:rPr>
            <w:rFonts w:ascii="Arial" w:eastAsiaTheme="minorEastAsia" w:hAnsi="Arial" w:cs="Arial"/>
            <w:noProof/>
            <w:sz w:val="22"/>
            <w:szCs w:val="22"/>
            <w:lang w:eastAsia="da-DK"/>
          </w:rPr>
          <w:tab/>
        </w:r>
        <w:r w:rsidR="005C5BB7" w:rsidRPr="005C5BB7">
          <w:rPr>
            <w:rStyle w:val="Hyperlink"/>
            <w:rFonts w:ascii="Arial" w:hAnsi="Arial" w:cs="Arial"/>
            <w:noProof/>
            <w:sz w:val="22"/>
            <w:szCs w:val="22"/>
          </w:rPr>
          <w:t>Fertilitet og mortalitet</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_Toc38361233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7</w:t>
        </w:r>
        <w:r w:rsidR="005C5BB7" w:rsidRPr="005C5BB7">
          <w:rPr>
            <w:rFonts w:ascii="Arial" w:hAnsi="Arial" w:cs="Arial"/>
            <w:noProof/>
            <w:webHidden/>
            <w:sz w:val="22"/>
            <w:szCs w:val="22"/>
          </w:rPr>
          <w:fldChar w:fldCharType="end"/>
        </w:r>
      </w:hyperlink>
    </w:p>
    <w:p w:rsidR="005C5BB7" w:rsidRPr="005C5BB7" w:rsidRDefault="00177C3C">
      <w:pPr>
        <w:pStyle w:val="Indholdsfortegnelse3"/>
        <w:tabs>
          <w:tab w:val="left" w:pos="1320"/>
          <w:tab w:val="right" w:leader="dot" w:pos="9629"/>
        </w:tabs>
        <w:rPr>
          <w:rFonts w:ascii="Arial" w:eastAsiaTheme="minorEastAsia" w:hAnsi="Arial" w:cs="Arial"/>
          <w:noProof/>
          <w:sz w:val="22"/>
          <w:szCs w:val="22"/>
          <w:lang w:eastAsia="da-DK"/>
        </w:rPr>
      </w:pPr>
      <w:hyperlink w:anchor="_Toc38361234" w:history="1">
        <w:r w:rsidR="005C5BB7" w:rsidRPr="005C5BB7">
          <w:rPr>
            <w:rStyle w:val="Hyperlink"/>
            <w:rFonts w:ascii="Arial" w:hAnsi="Arial" w:cs="Arial"/>
            <w:noProof/>
            <w:sz w:val="22"/>
            <w:szCs w:val="22"/>
          </w:rPr>
          <w:t>2.4.3</w:t>
        </w:r>
        <w:r w:rsidR="005C5BB7" w:rsidRPr="005C5BB7">
          <w:rPr>
            <w:rFonts w:ascii="Arial" w:eastAsiaTheme="minorEastAsia" w:hAnsi="Arial" w:cs="Arial"/>
            <w:noProof/>
            <w:sz w:val="22"/>
            <w:szCs w:val="22"/>
            <w:lang w:eastAsia="da-DK"/>
          </w:rPr>
          <w:tab/>
        </w:r>
        <w:r w:rsidR="005C5BB7" w:rsidRPr="005C5BB7">
          <w:rPr>
            <w:rStyle w:val="Hyperlink"/>
            <w:rFonts w:ascii="Arial" w:hAnsi="Arial" w:cs="Arial"/>
            <w:noProof/>
            <w:sz w:val="22"/>
            <w:szCs w:val="22"/>
          </w:rPr>
          <w:t>Tilflytningsprofiler</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_Toc38361234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9</w:t>
        </w:r>
        <w:r w:rsidR="005C5BB7" w:rsidRPr="005C5BB7">
          <w:rPr>
            <w:rFonts w:ascii="Arial" w:hAnsi="Arial" w:cs="Arial"/>
            <w:noProof/>
            <w:webHidden/>
            <w:sz w:val="22"/>
            <w:szCs w:val="22"/>
          </w:rPr>
          <w:fldChar w:fldCharType="end"/>
        </w:r>
      </w:hyperlink>
    </w:p>
    <w:p w:rsidR="005C5BB7" w:rsidRPr="005C5BB7" w:rsidRDefault="00177C3C">
      <w:pPr>
        <w:pStyle w:val="Indholdsfortegnelse3"/>
        <w:tabs>
          <w:tab w:val="left" w:pos="1320"/>
          <w:tab w:val="right" w:leader="dot" w:pos="9629"/>
        </w:tabs>
        <w:rPr>
          <w:rFonts w:ascii="Arial" w:eastAsiaTheme="minorEastAsia" w:hAnsi="Arial" w:cs="Arial"/>
          <w:noProof/>
          <w:sz w:val="22"/>
          <w:szCs w:val="22"/>
          <w:lang w:eastAsia="da-DK"/>
        </w:rPr>
      </w:pPr>
      <w:hyperlink w:anchor="_Toc38361235" w:history="1">
        <w:r w:rsidR="005C5BB7" w:rsidRPr="005C5BB7">
          <w:rPr>
            <w:rStyle w:val="Hyperlink"/>
            <w:rFonts w:ascii="Arial" w:hAnsi="Arial" w:cs="Arial"/>
            <w:noProof/>
            <w:sz w:val="22"/>
            <w:szCs w:val="22"/>
          </w:rPr>
          <w:t>2.4.4</w:t>
        </w:r>
        <w:r w:rsidR="005C5BB7" w:rsidRPr="005C5BB7">
          <w:rPr>
            <w:rFonts w:ascii="Arial" w:eastAsiaTheme="minorEastAsia" w:hAnsi="Arial" w:cs="Arial"/>
            <w:noProof/>
            <w:sz w:val="22"/>
            <w:szCs w:val="22"/>
            <w:lang w:eastAsia="da-DK"/>
          </w:rPr>
          <w:tab/>
        </w:r>
        <w:r w:rsidR="005C5BB7" w:rsidRPr="005C5BB7">
          <w:rPr>
            <w:rStyle w:val="Hyperlink"/>
            <w:rFonts w:ascii="Arial" w:hAnsi="Arial" w:cs="Arial"/>
            <w:noProof/>
            <w:sz w:val="22"/>
            <w:szCs w:val="22"/>
          </w:rPr>
          <w:t>Udtynding (tidl. forblivelsesrater)</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_Toc38361235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10</w:t>
        </w:r>
        <w:r w:rsidR="005C5BB7" w:rsidRPr="005C5BB7">
          <w:rPr>
            <w:rFonts w:ascii="Arial" w:hAnsi="Arial" w:cs="Arial"/>
            <w:noProof/>
            <w:webHidden/>
            <w:sz w:val="22"/>
            <w:szCs w:val="22"/>
          </w:rPr>
          <w:fldChar w:fldCharType="end"/>
        </w:r>
      </w:hyperlink>
    </w:p>
    <w:p w:rsidR="005C5BB7" w:rsidRPr="005C5BB7" w:rsidRDefault="00177C3C">
      <w:pPr>
        <w:pStyle w:val="Indholdsfortegnelse3"/>
        <w:tabs>
          <w:tab w:val="left" w:pos="1320"/>
          <w:tab w:val="right" w:leader="dot" w:pos="9629"/>
        </w:tabs>
        <w:rPr>
          <w:rFonts w:ascii="Arial" w:eastAsiaTheme="minorEastAsia" w:hAnsi="Arial" w:cs="Arial"/>
          <w:noProof/>
          <w:sz w:val="22"/>
          <w:szCs w:val="22"/>
          <w:lang w:eastAsia="da-DK"/>
        </w:rPr>
      </w:pPr>
      <w:hyperlink w:anchor="_Toc38361236" w:history="1">
        <w:r w:rsidR="005C5BB7" w:rsidRPr="005C5BB7">
          <w:rPr>
            <w:rStyle w:val="Hyperlink"/>
            <w:rFonts w:ascii="Arial" w:hAnsi="Arial" w:cs="Arial"/>
            <w:noProof/>
            <w:sz w:val="22"/>
            <w:szCs w:val="22"/>
          </w:rPr>
          <w:t>2.4.5</w:t>
        </w:r>
        <w:r w:rsidR="005C5BB7" w:rsidRPr="005C5BB7">
          <w:rPr>
            <w:rFonts w:ascii="Arial" w:eastAsiaTheme="minorEastAsia" w:hAnsi="Arial" w:cs="Arial"/>
            <w:noProof/>
            <w:sz w:val="22"/>
            <w:szCs w:val="22"/>
            <w:lang w:eastAsia="da-DK"/>
          </w:rPr>
          <w:tab/>
        </w:r>
        <w:r w:rsidR="005C5BB7" w:rsidRPr="005C5BB7">
          <w:rPr>
            <w:rStyle w:val="Hyperlink"/>
            <w:rFonts w:ascii="Arial" w:hAnsi="Arial" w:cs="Arial"/>
            <w:noProof/>
            <w:sz w:val="22"/>
            <w:szCs w:val="22"/>
          </w:rPr>
          <w:t>Til- og fraflytning</w:t>
        </w:r>
        <w:r w:rsidR="005C5BB7" w:rsidRPr="005C5BB7">
          <w:rPr>
            <w:rFonts w:ascii="Arial" w:hAnsi="Arial" w:cs="Arial"/>
            <w:noProof/>
            <w:webHidden/>
            <w:sz w:val="22"/>
            <w:szCs w:val="22"/>
          </w:rPr>
          <w:tab/>
        </w:r>
        <w:r w:rsidR="005C5BB7" w:rsidRPr="005C5BB7">
          <w:rPr>
            <w:rFonts w:ascii="Arial" w:hAnsi="Arial" w:cs="Arial"/>
            <w:noProof/>
            <w:webHidden/>
            <w:sz w:val="22"/>
            <w:szCs w:val="22"/>
          </w:rPr>
          <w:fldChar w:fldCharType="begin"/>
        </w:r>
        <w:r w:rsidR="005C5BB7" w:rsidRPr="005C5BB7">
          <w:rPr>
            <w:rFonts w:ascii="Arial" w:hAnsi="Arial" w:cs="Arial"/>
            <w:noProof/>
            <w:webHidden/>
            <w:sz w:val="22"/>
            <w:szCs w:val="22"/>
          </w:rPr>
          <w:instrText xml:space="preserve"> PAGEREF _Toc38361236 \h </w:instrText>
        </w:r>
        <w:r w:rsidR="005C5BB7" w:rsidRPr="005C5BB7">
          <w:rPr>
            <w:rFonts w:ascii="Arial" w:hAnsi="Arial" w:cs="Arial"/>
            <w:noProof/>
            <w:webHidden/>
            <w:sz w:val="22"/>
            <w:szCs w:val="22"/>
          </w:rPr>
        </w:r>
        <w:r w:rsidR="005C5BB7" w:rsidRPr="005C5BB7">
          <w:rPr>
            <w:rFonts w:ascii="Arial" w:hAnsi="Arial" w:cs="Arial"/>
            <w:noProof/>
            <w:webHidden/>
            <w:sz w:val="22"/>
            <w:szCs w:val="22"/>
          </w:rPr>
          <w:fldChar w:fldCharType="separate"/>
        </w:r>
        <w:r w:rsidR="009A23AF">
          <w:rPr>
            <w:rFonts w:ascii="Arial" w:hAnsi="Arial" w:cs="Arial"/>
            <w:noProof/>
            <w:webHidden/>
            <w:sz w:val="22"/>
            <w:szCs w:val="22"/>
          </w:rPr>
          <w:t>12</w:t>
        </w:r>
        <w:r w:rsidR="005C5BB7" w:rsidRPr="005C5BB7">
          <w:rPr>
            <w:rFonts w:ascii="Arial" w:hAnsi="Arial" w:cs="Arial"/>
            <w:noProof/>
            <w:webHidden/>
            <w:sz w:val="22"/>
            <w:szCs w:val="22"/>
          </w:rPr>
          <w:fldChar w:fldCharType="end"/>
        </w:r>
      </w:hyperlink>
    </w:p>
    <w:p w:rsidR="005C5BB7" w:rsidRPr="005C5BB7" w:rsidRDefault="00177C3C">
      <w:pPr>
        <w:pStyle w:val="Indholdsfortegnelse1"/>
        <w:rPr>
          <w:rFonts w:ascii="Arial" w:eastAsiaTheme="minorEastAsia" w:hAnsi="Arial" w:cs="Arial"/>
          <w:b w:val="0"/>
          <w:smallCaps w:val="0"/>
          <w:color w:val="auto"/>
          <w:sz w:val="22"/>
          <w:szCs w:val="22"/>
          <w:lang w:eastAsia="da-DK"/>
        </w:rPr>
      </w:pPr>
      <w:hyperlink w:anchor="_Toc38361237" w:history="1">
        <w:r w:rsidR="005C5BB7" w:rsidRPr="005C5BB7">
          <w:rPr>
            <w:rStyle w:val="Hyperlink"/>
            <w:rFonts w:ascii="Arial" w:hAnsi="Arial" w:cs="Arial"/>
            <w:sz w:val="22"/>
            <w:szCs w:val="22"/>
          </w:rPr>
          <w:t>Tabeller og Parameterområder / distrikter</w:t>
        </w:r>
        <w:r w:rsidR="005C5BB7" w:rsidRPr="005C5BB7">
          <w:rPr>
            <w:rFonts w:ascii="Arial" w:hAnsi="Arial" w:cs="Arial"/>
            <w:webHidden/>
            <w:sz w:val="22"/>
            <w:szCs w:val="22"/>
          </w:rPr>
          <w:tab/>
        </w:r>
        <w:r w:rsidR="005C5BB7" w:rsidRPr="005C5BB7">
          <w:rPr>
            <w:rFonts w:ascii="Arial" w:hAnsi="Arial" w:cs="Arial"/>
            <w:webHidden/>
            <w:sz w:val="22"/>
            <w:szCs w:val="22"/>
          </w:rPr>
          <w:fldChar w:fldCharType="begin"/>
        </w:r>
        <w:r w:rsidR="005C5BB7" w:rsidRPr="005C5BB7">
          <w:rPr>
            <w:rFonts w:ascii="Arial" w:hAnsi="Arial" w:cs="Arial"/>
            <w:webHidden/>
            <w:sz w:val="22"/>
            <w:szCs w:val="22"/>
          </w:rPr>
          <w:instrText xml:space="preserve"> PAGEREF _Toc38361237 \h </w:instrText>
        </w:r>
        <w:r w:rsidR="005C5BB7" w:rsidRPr="005C5BB7">
          <w:rPr>
            <w:rFonts w:ascii="Arial" w:hAnsi="Arial" w:cs="Arial"/>
            <w:webHidden/>
            <w:sz w:val="22"/>
            <w:szCs w:val="22"/>
          </w:rPr>
        </w:r>
        <w:r w:rsidR="005C5BB7" w:rsidRPr="005C5BB7">
          <w:rPr>
            <w:rFonts w:ascii="Arial" w:hAnsi="Arial" w:cs="Arial"/>
            <w:webHidden/>
            <w:sz w:val="22"/>
            <w:szCs w:val="22"/>
          </w:rPr>
          <w:fldChar w:fldCharType="separate"/>
        </w:r>
        <w:r w:rsidR="009A23AF">
          <w:rPr>
            <w:rFonts w:ascii="Arial" w:hAnsi="Arial" w:cs="Arial"/>
            <w:webHidden/>
            <w:sz w:val="22"/>
            <w:szCs w:val="22"/>
          </w:rPr>
          <w:t>21</w:t>
        </w:r>
        <w:r w:rsidR="005C5BB7" w:rsidRPr="005C5BB7">
          <w:rPr>
            <w:rFonts w:ascii="Arial" w:hAnsi="Arial" w:cs="Arial"/>
            <w:webHidden/>
            <w:sz w:val="22"/>
            <w:szCs w:val="22"/>
          </w:rPr>
          <w:fldChar w:fldCharType="end"/>
        </w:r>
      </w:hyperlink>
    </w:p>
    <w:p w:rsidR="006D04C4" w:rsidRPr="00D30D29" w:rsidRDefault="00204EA5" w:rsidP="006D04C4">
      <w:pPr>
        <w:pStyle w:val="Overskrift1"/>
        <w:rPr>
          <w:rFonts w:cstheme="minorHAnsi"/>
          <w:highlight w:val="yellow"/>
        </w:rPr>
      </w:pPr>
      <w:r w:rsidRPr="005C5BB7">
        <w:rPr>
          <w:rFonts w:eastAsia="Times New Roman" w:cs="Arial"/>
          <w:bCs w:val="0"/>
          <w:smallCaps/>
          <w:noProof/>
          <w:color w:val="auto"/>
          <w:sz w:val="22"/>
          <w:szCs w:val="22"/>
          <w:highlight w:val="yellow"/>
          <w:lang w:eastAsia="en-US"/>
        </w:rPr>
        <w:fldChar w:fldCharType="end"/>
      </w:r>
    </w:p>
    <w:p w:rsidR="006D04C4" w:rsidRPr="00D30D29" w:rsidRDefault="006D04C4" w:rsidP="006D04C4">
      <w:pPr>
        <w:pStyle w:val="Overskrift1"/>
        <w:keepLines w:val="0"/>
        <w:numPr>
          <w:ilvl w:val="0"/>
          <w:numId w:val="5"/>
        </w:numPr>
        <w:tabs>
          <w:tab w:val="num" w:pos="574"/>
        </w:tabs>
        <w:spacing w:before="240" w:after="60"/>
        <w:ind w:left="0" w:firstLine="0"/>
        <w:jc w:val="both"/>
      </w:pPr>
      <w:r w:rsidRPr="00D30D29">
        <w:rPr>
          <w:highlight w:val="yellow"/>
        </w:rPr>
        <w:br w:type="page"/>
      </w:r>
      <w:bookmarkStart w:id="2" w:name="_Toc6400691"/>
      <w:bookmarkStart w:id="3" w:name="_Toc38361223"/>
      <w:r w:rsidR="00B304A7">
        <w:lastRenderedPageBreak/>
        <w:t>Indledning</w:t>
      </w:r>
      <w:bookmarkEnd w:id="2"/>
      <w:bookmarkEnd w:id="3"/>
    </w:p>
    <w:p w:rsidR="006D04C4" w:rsidRPr="00CD5480" w:rsidRDefault="006D04C4" w:rsidP="006D04C4">
      <w:pPr>
        <w:pStyle w:val="Normal1"/>
        <w:rPr>
          <w:rFonts w:ascii="Arial" w:hAnsi="Arial" w:cs="Arial"/>
          <w:sz w:val="22"/>
          <w:szCs w:val="22"/>
          <w:lang w:eastAsia="en-US"/>
        </w:rPr>
      </w:pPr>
      <w:r w:rsidRPr="00CD5480">
        <w:rPr>
          <w:rFonts w:ascii="Arial" w:hAnsi="Arial" w:cs="Arial"/>
          <w:sz w:val="22"/>
          <w:szCs w:val="22"/>
          <w:lang w:eastAsia="en-US"/>
        </w:rPr>
        <w:t>Brøndby Kommune har udarbejdet en prognose for befolkningsudviklingen i kommunen fordelt på alder og bydele i et ti-åri</w:t>
      </w:r>
      <w:r w:rsidR="002346BF">
        <w:rPr>
          <w:rFonts w:ascii="Arial" w:hAnsi="Arial" w:cs="Arial"/>
          <w:sz w:val="22"/>
          <w:szCs w:val="22"/>
          <w:lang w:eastAsia="en-US"/>
        </w:rPr>
        <w:t>gt perspektiv frem til primo 2030</w:t>
      </w:r>
      <w:r w:rsidRPr="00CD5480">
        <w:rPr>
          <w:rFonts w:ascii="Arial" w:hAnsi="Arial" w:cs="Arial"/>
          <w:sz w:val="22"/>
          <w:szCs w:val="22"/>
          <w:lang w:eastAsia="en-US"/>
        </w:rPr>
        <w:t>.</w:t>
      </w:r>
    </w:p>
    <w:p w:rsidR="006D04C4" w:rsidRPr="00CD5480" w:rsidRDefault="006D04C4" w:rsidP="006D04C4">
      <w:pPr>
        <w:pStyle w:val="Normal1"/>
        <w:rPr>
          <w:rFonts w:ascii="Arial" w:hAnsi="Arial" w:cs="Arial"/>
          <w:sz w:val="22"/>
          <w:szCs w:val="22"/>
          <w:lang w:eastAsia="en-US"/>
        </w:rPr>
      </w:pPr>
    </w:p>
    <w:p w:rsidR="00364B35" w:rsidRDefault="006D04C4" w:rsidP="006D04C4">
      <w:pPr>
        <w:pStyle w:val="Normal1"/>
        <w:rPr>
          <w:rFonts w:ascii="Arial" w:hAnsi="Arial" w:cs="Arial"/>
          <w:sz w:val="22"/>
          <w:szCs w:val="22"/>
          <w:lang w:eastAsia="en-US"/>
        </w:rPr>
      </w:pPr>
      <w:r w:rsidRPr="00CD5480">
        <w:rPr>
          <w:rFonts w:ascii="Arial" w:hAnsi="Arial" w:cs="Arial"/>
          <w:sz w:val="22"/>
          <w:szCs w:val="22"/>
          <w:lang w:eastAsia="en-US"/>
        </w:rPr>
        <w:t>Befolkningsprognosen er udarbejdet med prognosemodellen DemoGrafix fra rådgivningsvirksomheden COWI.</w:t>
      </w:r>
      <w:r w:rsidR="00E162F9" w:rsidRPr="00CD5480">
        <w:rPr>
          <w:rFonts w:ascii="Arial" w:hAnsi="Arial" w:cs="Arial"/>
          <w:sz w:val="22"/>
          <w:szCs w:val="22"/>
          <w:lang w:eastAsia="en-US"/>
        </w:rPr>
        <w:t xml:space="preserve"> Materialet om befolkningsprognosen er opdelt i to dele. </w:t>
      </w:r>
      <w:r w:rsidR="006F717B" w:rsidRPr="00CD5480">
        <w:rPr>
          <w:rFonts w:ascii="Arial" w:hAnsi="Arial" w:cs="Arial"/>
          <w:sz w:val="22"/>
          <w:szCs w:val="22"/>
          <w:lang w:eastAsia="en-US"/>
        </w:rPr>
        <w:t xml:space="preserve">Læseren som ønsker et relativt hurtigt overblik af </w:t>
      </w:r>
      <w:r w:rsidR="005F5C2D" w:rsidRPr="00CD5480">
        <w:rPr>
          <w:rFonts w:ascii="Arial" w:hAnsi="Arial" w:cs="Arial"/>
          <w:sz w:val="22"/>
          <w:szCs w:val="22"/>
          <w:lang w:eastAsia="en-US"/>
        </w:rPr>
        <w:t xml:space="preserve">hvordan </w:t>
      </w:r>
      <w:r w:rsidR="002346BF">
        <w:rPr>
          <w:rFonts w:ascii="Arial" w:hAnsi="Arial" w:cs="Arial"/>
          <w:sz w:val="22"/>
          <w:szCs w:val="22"/>
          <w:lang w:eastAsia="en-US"/>
        </w:rPr>
        <w:t>udviklingen i 2019</w:t>
      </w:r>
      <w:r w:rsidR="006F717B" w:rsidRPr="00CD5480">
        <w:rPr>
          <w:rFonts w:ascii="Arial" w:hAnsi="Arial" w:cs="Arial"/>
          <w:sz w:val="22"/>
          <w:szCs w:val="22"/>
          <w:lang w:eastAsia="en-US"/>
        </w:rPr>
        <w:t xml:space="preserve"> </w:t>
      </w:r>
      <w:r w:rsidR="005F5C2D" w:rsidRPr="00CD5480">
        <w:rPr>
          <w:rFonts w:ascii="Arial" w:hAnsi="Arial" w:cs="Arial"/>
          <w:sz w:val="22"/>
          <w:szCs w:val="22"/>
          <w:lang w:eastAsia="en-US"/>
        </w:rPr>
        <w:t xml:space="preserve">er forløbet </w:t>
      </w:r>
      <w:r w:rsidR="006F717B" w:rsidRPr="00CD5480">
        <w:rPr>
          <w:rFonts w:ascii="Arial" w:hAnsi="Arial" w:cs="Arial"/>
          <w:sz w:val="22"/>
          <w:szCs w:val="22"/>
          <w:lang w:eastAsia="en-US"/>
        </w:rPr>
        <w:t>og</w:t>
      </w:r>
      <w:r w:rsidR="002346BF">
        <w:rPr>
          <w:rFonts w:ascii="Arial" w:hAnsi="Arial" w:cs="Arial"/>
          <w:sz w:val="22"/>
          <w:szCs w:val="22"/>
          <w:lang w:eastAsia="en-US"/>
        </w:rPr>
        <w:t xml:space="preserve"> hvordan det tegner sig fra 2020 til 2030</w:t>
      </w:r>
      <w:r w:rsidR="006F717B" w:rsidRPr="00CD5480">
        <w:rPr>
          <w:rFonts w:ascii="Arial" w:hAnsi="Arial" w:cs="Arial"/>
          <w:sz w:val="22"/>
          <w:szCs w:val="22"/>
          <w:lang w:eastAsia="en-US"/>
        </w:rPr>
        <w:t xml:space="preserve"> kan således ”nøjes” med </w:t>
      </w:r>
      <w:r w:rsidR="005F5C2D" w:rsidRPr="00CD5480">
        <w:rPr>
          <w:rFonts w:ascii="Arial" w:hAnsi="Arial" w:cs="Arial"/>
          <w:sz w:val="22"/>
          <w:szCs w:val="22"/>
          <w:lang w:eastAsia="en-US"/>
        </w:rPr>
        <w:t>at læse</w:t>
      </w:r>
      <w:r w:rsidR="006F717B" w:rsidRPr="00CD5480">
        <w:rPr>
          <w:rFonts w:ascii="Arial" w:hAnsi="Arial" w:cs="Arial"/>
          <w:sz w:val="22"/>
          <w:szCs w:val="22"/>
          <w:lang w:eastAsia="en-US"/>
        </w:rPr>
        <w:t xml:space="preserve"> første del</w:t>
      </w:r>
      <w:r w:rsidR="00D81727" w:rsidRPr="00CD5480">
        <w:rPr>
          <w:rFonts w:ascii="Arial" w:hAnsi="Arial" w:cs="Arial"/>
          <w:sz w:val="22"/>
          <w:szCs w:val="22"/>
          <w:lang w:eastAsia="en-US"/>
        </w:rPr>
        <w:t>,</w:t>
      </w:r>
      <w:r w:rsidR="003F2325" w:rsidRPr="00CD5480">
        <w:rPr>
          <w:rFonts w:ascii="Arial" w:hAnsi="Arial" w:cs="Arial"/>
          <w:sz w:val="22"/>
          <w:szCs w:val="22"/>
          <w:lang w:eastAsia="en-US"/>
        </w:rPr>
        <w:t xml:space="preserve"> også kaldet hovedrapporten”</w:t>
      </w:r>
      <w:r w:rsidR="006F717B" w:rsidRPr="00CD5480">
        <w:rPr>
          <w:rFonts w:ascii="Arial" w:hAnsi="Arial" w:cs="Arial"/>
          <w:sz w:val="22"/>
          <w:szCs w:val="22"/>
          <w:lang w:eastAsia="en-US"/>
        </w:rPr>
        <w:t>. Ønskes en nærlæsning af selve prognosemodellen og de parametre der er anvendt</w:t>
      </w:r>
      <w:r w:rsidR="002346BF">
        <w:rPr>
          <w:rFonts w:ascii="Arial" w:hAnsi="Arial" w:cs="Arial"/>
          <w:sz w:val="22"/>
          <w:szCs w:val="22"/>
          <w:lang w:eastAsia="en-US"/>
        </w:rPr>
        <w:t xml:space="preserve"> til f.eks. fødsler og dødelighed,</w:t>
      </w:r>
      <w:r w:rsidR="006F717B" w:rsidRPr="00CD5480">
        <w:rPr>
          <w:rFonts w:ascii="Arial" w:hAnsi="Arial" w:cs="Arial"/>
          <w:sz w:val="22"/>
          <w:szCs w:val="22"/>
          <w:lang w:eastAsia="en-US"/>
        </w:rPr>
        <w:t xml:space="preserve"> skal læseren også tage fat på den andel del. I denne anden del er der også ve</w:t>
      </w:r>
      <w:r w:rsidR="00B304A7" w:rsidRPr="00CD5480">
        <w:rPr>
          <w:rFonts w:ascii="Arial" w:hAnsi="Arial" w:cs="Arial"/>
          <w:sz w:val="22"/>
          <w:szCs w:val="22"/>
          <w:lang w:eastAsia="en-US"/>
        </w:rPr>
        <w:t>dlagt en oversigt over parametre</w:t>
      </w:r>
      <w:r w:rsidR="006F717B" w:rsidRPr="00CD5480">
        <w:rPr>
          <w:rFonts w:ascii="Arial" w:hAnsi="Arial" w:cs="Arial"/>
          <w:sz w:val="22"/>
          <w:szCs w:val="22"/>
          <w:lang w:eastAsia="en-US"/>
        </w:rPr>
        <w:t>områderne</w:t>
      </w:r>
      <w:r w:rsidR="002346BF">
        <w:rPr>
          <w:rFonts w:ascii="Arial" w:hAnsi="Arial" w:cs="Arial"/>
          <w:sz w:val="22"/>
          <w:szCs w:val="22"/>
          <w:lang w:eastAsia="en-US"/>
        </w:rPr>
        <w:t xml:space="preserve">. </w:t>
      </w:r>
    </w:p>
    <w:p w:rsidR="002346BF" w:rsidRDefault="002346BF" w:rsidP="006D04C4">
      <w:pPr>
        <w:pStyle w:val="Normal1"/>
        <w:rPr>
          <w:rFonts w:ascii="Arial" w:hAnsi="Arial" w:cs="Arial"/>
          <w:sz w:val="22"/>
          <w:szCs w:val="22"/>
          <w:lang w:eastAsia="en-US"/>
        </w:rPr>
      </w:pPr>
    </w:p>
    <w:p w:rsidR="002346BF" w:rsidRPr="00CD5480" w:rsidRDefault="002346BF" w:rsidP="006D04C4">
      <w:pPr>
        <w:pStyle w:val="Normal1"/>
        <w:rPr>
          <w:rFonts w:ascii="Arial" w:hAnsi="Arial" w:cs="Arial"/>
          <w:sz w:val="22"/>
          <w:szCs w:val="22"/>
          <w:lang w:eastAsia="en-US"/>
        </w:rPr>
      </w:pPr>
      <w:r>
        <w:rPr>
          <w:rFonts w:ascii="Arial" w:hAnsi="Arial" w:cs="Arial"/>
          <w:sz w:val="22"/>
          <w:szCs w:val="22"/>
          <w:lang w:eastAsia="en-US"/>
        </w:rPr>
        <w:t>En elektronisk udgave af befolkningsprognosen (kun tal) kan findes på Brøndby Kommunes hjemmeside:</w:t>
      </w:r>
      <w:r w:rsidR="005C5BB7">
        <w:rPr>
          <w:rFonts w:ascii="Arial" w:hAnsi="Arial" w:cs="Arial"/>
          <w:sz w:val="22"/>
          <w:szCs w:val="22"/>
          <w:lang w:eastAsia="en-US"/>
        </w:rPr>
        <w:t xml:space="preserve"> </w:t>
      </w:r>
      <w:hyperlink r:id="rId8" w:history="1">
        <w:r w:rsidR="005C5BB7" w:rsidRPr="005C5BB7">
          <w:rPr>
            <w:rStyle w:val="Hyperlink"/>
            <w:rFonts w:ascii="Arial" w:hAnsi="Arial" w:cs="Arial"/>
            <w:sz w:val="22"/>
            <w:szCs w:val="22"/>
            <w:lang w:eastAsia="en-US"/>
          </w:rPr>
          <w:t>https://www.brondby.dk/Kommune/okonomi/Befolkningsprognose.aspx</w:t>
        </w:r>
      </w:hyperlink>
    </w:p>
    <w:p w:rsidR="00364B35" w:rsidRPr="005D54CB" w:rsidRDefault="00364B35" w:rsidP="00364B35">
      <w:pPr>
        <w:pStyle w:val="Overskrift2"/>
        <w:keepLines w:val="0"/>
        <w:numPr>
          <w:ilvl w:val="1"/>
          <w:numId w:val="5"/>
        </w:numPr>
        <w:spacing w:before="240" w:after="60"/>
        <w:jc w:val="both"/>
      </w:pPr>
      <w:bookmarkStart w:id="4" w:name="_Toc6400692"/>
      <w:bookmarkStart w:id="5" w:name="_Toc38361224"/>
      <w:r w:rsidRPr="00CD5480">
        <w:rPr>
          <w:rFonts w:ascii="Arial" w:hAnsi="Arial" w:cs="Arial"/>
        </w:rPr>
        <w:t>Rapportens</w:t>
      </w:r>
      <w:r w:rsidRPr="005D54CB">
        <w:t xml:space="preserve"> opbygning</w:t>
      </w:r>
      <w:bookmarkEnd w:id="4"/>
      <w:bookmarkEnd w:id="5"/>
    </w:p>
    <w:p w:rsidR="00364B35" w:rsidRPr="00CD5480" w:rsidRDefault="00364B35" w:rsidP="00364B35">
      <w:pPr>
        <w:pStyle w:val="Normal1"/>
        <w:rPr>
          <w:rFonts w:ascii="Arial" w:hAnsi="Arial" w:cs="Arial"/>
          <w:sz w:val="22"/>
          <w:szCs w:val="22"/>
        </w:rPr>
      </w:pPr>
      <w:r w:rsidRPr="00CD5480">
        <w:rPr>
          <w:rFonts w:ascii="Arial" w:hAnsi="Arial" w:cs="Arial"/>
          <w:sz w:val="22"/>
          <w:szCs w:val="22"/>
        </w:rPr>
        <w:t>Rapporten er opbygget, som følger:</w:t>
      </w:r>
    </w:p>
    <w:p w:rsidR="00364B35" w:rsidRPr="00CD5480" w:rsidRDefault="00364B35" w:rsidP="00364B35">
      <w:pPr>
        <w:pStyle w:val="Normal1"/>
        <w:rPr>
          <w:rFonts w:ascii="Arial" w:hAnsi="Arial" w:cs="Arial"/>
          <w:sz w:val="22"/>
          <w:szCs w:val="22"/>
        </w:rPr>
      </w:pPr>
    </w:p>
    <w:p w:rsidR="00364B35" w:rsidRPr="00CD5480" w:rsidRDefault="00364B35" w:rsidP="00364B35">
      <w:pPr>
        <w:pStyle w:val="Normal1"/>
        <w:numPr>
          <w:ilvl w:val="0"/>
          <w:numId w:val="46"/>
        </w:numPr>
        <w:rPr>
          <w:rFonts w:ascii="Arial" w:hAnsi="Arial" w:cs="Arial"/>
          <w:sz w:val="22"/>
          <w:szCs w:val="22"/>
        </w:rPr>
      </w:pPr>
      <w:r w:rsidRPr="00CD5480">
        <w:rPr>
          <w:rFonts w:ascii="Arial" w:hAnsi="Arial" w:cs="Arial"/>
          <w:sz w:val="22"/>
          <w:szCs w:val="22"/>
        </w:rPr>
        <w:t>I kapitel 1 gives en kort indledning til prognosemodellen.</w:t>
      </w:r>
    </w:p>
    <w:p w:rsidR="00364B35" w:rsidRPr="00CD5480" w:rsidRDefault="00364B35" w:rsidP="00364B35">
      <w:pPr>
        <w:pStyle w:val="Normal1"/>
        <w:rPr>
          <w:rFonts w:ascii="Arial" w:hAnsi="Arial" w:cs="Arial"/>
          <w:sz w:val="22"/>
          <w:szCs w:val="22"/>
          <w:highlight w:val="yellow"/>
        </w:rPr>
      </w:pPr>
    </w:p>
    <w:p w:rsidR="00364B35" w:rsidRPr="00CD5480" w:rsidRDefault="00364B35" w:rsidP="00364B35">
      <w:pPr>
        <w:pStyle w:val="Normal1"/>
        <w:numPr>
          <w:ilvl w:val="0"/>
          <w:numId w:val="46"/>
        </w:numPr>
        <w:rPr>
          <w:rFonts w:ascii="Arial" w:hAnsi="Arial" w:cs="Arial"/>
          <w:sz w:val="22"/>
          <w:szCs w:val="22"/>
        </w:rPr>
      </w:pPr>
      <w:r w:rsidRPr="00CD5480">
        <w:rPr>
          <w:rFonts w:ascii="Arial" w:hAnsi="Arial" w:cs="Arial"/>
          <w:sz w:val="22"/>
          <w:szCs w:val="22"/>
        </w:rPr>
        <w:t>I kapitel 2 gives en mere dybdegående gennemgang af rapporten, herunder bl.a. baggrunden for at udarbejde en befolkningsprognose, præsentation af hovedforudsætninger m.m.</w:t>
      </w:r>
    </w:p>
    <w:p w:rsidR="00364B35" w:rsidRPr="00CD5480" w:rsidRDefault="00364B35" w:rsidP="00364B35">
      <w:pPr>
        <w:rPr>
          <w:rFonts w:cs="Arial"/>
          <w:szCs w:val="22"/>
        </w:rPr>
      </w:pPr>
    </w:p>
    <w:p w:rsidR="00364B35" w:rsidRPr="008E1A5F" w:rsidRDefault="00364B35" w:rsidP="008E1A5F">
      <w:pPr>
        <w:pStyle w:val="Normal1"/>
        <w:numPr>
          <w:ilvl w:val="0"/>
          <w:numId w:val="46"/>
        </w:numPr>
        <w:rPr>
          <w:rFonts w:ascii="Arial" w:hAnsi="Arial" w:cs="Arial"/>
          <w:sz w:val="22"/>
          <w:szCs w:val="22"/>
        </w:rPr>
      </w:pPr>
      <w:r w:rsidRPr="00CD5480">
        <w:rPr>
          <w:rFonts w:ascii="Arial" w:hAnsi="Arial" w:cs="Arial"/>
          <w:sz w:val="22"/>
          <w:szCs w:val="22"/>
        </w:rPr>
        <w:t>Bilag A indeholder oversigter over sammensætning af distrikter og parameterområder.</w:t>
      </w:r>
    </w:p>
    <w:p w:rsidR="006D04C4" w:rsidRPr="00E24EC5" w:rsidRDefault="006D04C4" w:rsidP="006D04C4">
      <w:pPr>
        <w:pStyle w:val="Overskrift2"/>
        <w:keepLines w:val="0"/>
        <w:numPr>
          <w:ilvl w:val="1"/>
          <w:numId w:val="5"/>
        </w:numPr>
        <w:spacing w:before="240" w:after="60"/>
        <w:jc w:val="both"/>
      </w:pPr>
      <w:bookmarkStart w:id="6" w:name="_Toc6400693"/>
      <w:bookmarkStart w:id="7" w:name="_Toc38361225"/>
      <w:r w:rsidRPr="00CD5480">
        <w:rPr>
          <w:rFonts w:ascii="Arial" w:hAnsi="Arial" w:cs="Arial"/>
        </w:rPr>
        <w:t>Udgangspunkt</w:t>
      </w:r>
      <w:r w:rsidRPr="00E24EC5">
        <w:t xml:space="preserve"> og tendenser</w:t>
      </w:r>
      <w:r w:rsidR="00B5154B">
        <w:t xml:space="preserve"> for befolkningsprognosen</w:t>
      </w:r>
      <w:bookmarkEnd w:id="6"/>
      <w:bookmarkEnd w:id="7"/>
    </w:p>
    <w:p w:rsidR="006D04C4" w:rsidRPr="00CD5480" w:rsidRDefault="006D04C4" w:rsidP="006D04C4">
      <w:pPr>
        <w:pStyle w:val="Normal1"/>
        <w:rPr>
          <w:rFonts w:ascii="Arial" w:hAnsi="Arial" w:cs="Arial"/>
          <w:sz w:val="22"/>
          <w:szCs w:val="22"/>
        </w:rPr>
      </w:pPr>
      <w:r w:rsidRPr="00CD5480">
        <w:rPr>
          <w:rFonts w:ascii="Arial" w:hAnsi="Arial" w:cs="Arial"/>
          <w:sz w:val="22"/>
          <w:szCs w:val="22"/>
        </w:rPr>
        <w:t>Prognosen bygger på historiske dat</w:t>
      </w:r>
      <w:r w:rsidR="00B304A7" w:rsidRPr="00CD5480">
        <w:rPr>
          <w:rFonts w:ascii="Arial" w:hAnsi="Arial" w:cs="Arial"/>
          <w:sz w:val="22"/>
          <w:szCs w:val="22"/>
        </w:rPr>
        <w:t>a primær</w:t>
      </w:r>
      <w:r w:rsidR="00B655DA">
        <w:rPr>
          <w:rFonts w:ascii="Arial" w:hAnsi="Arial" w:cs="Arial"/>
          <w:sz w:val="22"/>
          <w:szCs w:val="22"/>
        </w:rPr>
        <w:t>t for årene 2006 til og med 2019</w:t>
      </w:r>
      <w:r w:rsidRPr="00CD5480">
        <w:rPr>
          <w:rFonts w:ascii="Arial" w:hAnsi="Arial" w:cs="Arial"/>
          <w:sz w:val="22"/>
          <w:szCs w:val="22"/>
        </w:rPr>
        <w:t>. De historiske år var meget forskelligartede og indvirker således også forskelligt på prognosens resultater.</w:t>
      </w:r>
    </w:p>
    <w:p w:rsidR="006D04C4" w:rsidRPr="00CD5480" w:rsidRDefault="006D04C4" w:rsidP="006D04C4">
      <w:pPr>
        <w:pStyle w:val="Normal1"/>
        <w:rPr>
          <w:rFonts w:ascii="Arial" w:hAnsi="Arial" w:cs="Arial"/>
          <w:sz w:val="22"/>
          <w:szCs w:val="22"/>
        </w:rPr>
      </w:pPr>
    </w:p>
    <w:p w:rsidR="006D04C4" w:rsidRPr="00CD5480" w:rsidRDefault="006D04C4" w:rsidP="006D04C4">
      <w:pPr>
        <w:pStyle w:val="Normal1"/>
        <w:rPr>
          <w:rFonts w:ascii="Arial" w:hAnsi="Arial" w:cs="Arial"/>
          <w:sz w:val="22"/>
          <w:szCs w:val="22"/>
        </w:rPr>
      </w:pPr>
      <w:r w:rsidRPr="00CD5480">
        <w:rPr>
          <w:rFonts w:ascii="Arial" w:hAnsi="Arial" w:cs="Arial"/>
          <w:sz w:val="22"/>
          <w:szCs w:val="22"/>
        </w:rPr>
        <w:t>Årene 2006, 2007 og 2008 var – foruden en generel økonomisk højkonjunktur – for Brøndby Kommune præget af følgende statistiske tendenser:</w:t>
      </w:r>
    </w:p>
    <w:p w:rsidR="006D04C4" w:rsidRPr="00CD5480" w:rsidRDefault="006D04C4" w:rsidP="006D04C4">
      <w:pPr>
        <w:pStyle w:val="Normal1"/>
        <w:ind w:left="360"/>
        <w:rPr>
          <w:rFonts w:ascii="Arial" w:hAnsi="Arial" w:cs="Arial"/>
          <w:sz w:val="22"/>
          <w:szCs w:val="22"/>
        </w:rPr>
      </w:pPr>
    </w:p>
    <w:p w:rsidR="006D04C4" w:rsidRPr="00CD5480" w:rsidRDefault="006D04C4" w:rsidP="006D04C4">
      <w:pPr>
        <w:pStyle w:val="Normal1"/>
        <w:numPr>
          <w:ilvl w:val="0"/>
          <w:numId w:val="35"/>
        </w:numPr>
        <w:rPr>
          <w:rFonts w:ascii="Arial" w:hAnsi="Arial" w:cs="Arial"/>
          <w:sz w:val="22"/>
          <w:szCs w:val="22"/>
        </w:rPr>
      </w:pPr>
      <w:r w:rsidRPr="00CD5480">
        <w:rPr>
          <w:rFonts w:ascii="Arial" w:hAnsi="Arial" w:cs="Arial"/>
          <w:sz w:val="22"/>
          <w:szCs w:val="22"/>
        </w:rPr>
        <w:t>Faldende befolkningstal (negativ udvikling i befolkningstallet)</w:t>
      </w:r>
    </w:p>
    <w:p w:rsidR="006D04C4" w:rsidRPr="00CD5480" w:rsidRDefault="006D04C4" w:rsidP="006D04C4">
      <w:pPr>
        <w:pStyle w:val="Normal1"/>
        <w:numPr>
          <w:ilvl w:val="0"/>
          <w:numId w:val="35"/>
        </w:numPr>
        <w:rPr>
          <w:rFonts w:ascii="Arial" w:hAnsi="Arial" w:cs="Arial"/>
          <w:sz w:val="22"/>
          <w:szCs w:val="22"/>
        </w:rPr>
      </w:pPr>
      <w:r w:rsidRPr="00CD5480">
        <w:rPr>
          <w:rFonts w:ascii="Arial" w:hAnsi="Arial" w:cs="Arial"/>
          <w:sz w:val="22"/>
          <w:szCs w:val="22"/>
        </w:rPr>
        <w:t>Negativ flyttebalance (flere fraflyttere end tilflyttere)</w:t>
      </w:r>
    </w:p>
    <w:p w:rsidR="006D04C4" w:rsidRPr="00CD5480" w:rsidRDefault="006D04C4" w:rsidP="006D04C4">
      <w:pPr>
        <w:pStyle w:val="Normal1"/>
        <w:numPr>
          <w:ilvl w:val="0"/>
          <w:numId w:val="35"/>
        </w:numPr>
        <w:rPr>
          <w:rFonts w:ascii="Arial" w:hAnsi="Arial" w:cs="Arial"/>
          <w:sz w:val="22"/>
          <w:szCs w:val="22"/>
        </w:rPr>
      </w:pPr>
      <w:r w:rsidRPr="00CD5480">
        <w:rPr>
          <w:rFonts w:ascii="Arial" w:hAnsi="Arial" w:cs="Arial"/>
          <w:sz w:val="22"/>
          <w:szCs w:val="22"/>
        </w:rPr>
        <w:t>Fødselsoverskud (flere fødsler end dødsfald)</w:t>
      </w:r>
    </w:p>
    <w:p w:rsidR="006D04C4" w:rsidRPr="00CD5480" w:rsidRDefault="006D04C4" w:rsidP="006D04C4">
      <w:pPr>
        <w:pStyle w:val="Normal1"/>
        <w:numPr>
          <w:ilvl w:val="0"/>
          <w:numId w:val="35"/>
        </w:numPr>
        <w:rPr>
          <w:rFonts w:ascii="Arial" w:hAnsi="Arial" w:cs="Arial"/>
          <w:sz w:val="22"/>
          <w:szCs w:val="22"/>
        </w:rPr>
      </w:pPr>
      <w:r w:rsidRPr="00CD5480">
        <w:rPr>
          <w:rFonts w:ascii="Arial" w:hAnsi="Arial" w:cs="Arial"/>
          <w:sz w:val="22"/>
          <w:szCs w:val="22"/>
        </w:rPr>
        <w:lastRenderedPageBreak/>
        <w:t>Udtynding i den eksisterende boligmasse (tendens til flere boligkvadratmeter pr. person)</w:t>
      </w:r>
    </w:p>
    <w:p w:rsidR="006D04C4" w:rsidRPr="00CD5480" w:rsidRDefault="006D04C4" w:rsidP="006D04C4">
      <w:pPr>
        <w:pStyle w:val="Normal1"/>
        <w:numPr>
          <w:ilvl w:val="0"/>
          <w:numId w:val="35"/>
        </w:numPr>
        <w:rPr>
          <w:rFonts w:ascii="Arial" w:hAnsi="Arial" w:cs="Arial"/>
          <w:sz w:val="22"/>
          <w:szCs w:val="22"/>
        </w:rPr>
      </w:pPr>
      <w:r w:rsidRPr="00CD5480">
        <w:rPr>
          <w:rFonts w:ascii="Arial" w:hAnsi="Arial" w:cs="Arial"/>
          <w:sz w:val="22"/>
          <w:szCs w:val="22"/>
        </w:rPr>
        <w:t>Lavt boligbyggeri, relativt (både sammenlignet med regionen og med historiske år)</w:t>
      </w:r>
    </w:p>
    <w:p w:rsidR="006D04C4" w:rsidRPr="00CD5480" w:rsidRDefault="006D04C4" w:rsidP="006D04C4">
      <w:pPr>
        <w:pStyle w:val="Normal1"/>
        <w:rPr>
          <w:rFonts w:ascii="Arial" w:hAnsi="Arial" w:cs="Arial"/>
          <w:sz w:val="22"/>
          <w:szCs w:val="22"/>
        </w:rPr>
      </w:pPr>
    </w:p>
    <w:p w:rsidR="006D04C4" w:rsidRPr="00CD5480" w:rsidRDefault="006D04C4" w:rsidP="006D04C4">
      <w:pPr>
        <w:pStyle w:val="Normal1"/>
        <w:rPr>
          <w:rFonts w:ascii="Arial" w:hAnsi="Arial" w:cs="Arial"/>
          <w:sz w:val="22"/>
          <w:szCs w:val="22"/>
        </w:rPr>
      </w:pPr>
      <w:r w:rsidRPr="00CD5480">
        <w:rPr>
          <w:rFonts w:ascii="Arial" w:hAnsi="Arial" w:cs="Arial"/>
          <w:sz w:val="22"/>
          <w:szCs w:val="22"/>
        </w:rPr>
        <w:t>Årene 2009-2016 var – foruden en både økonomisk lavkonjunktur i starten af perioden og en højkonjunktur sidst i perioden (finansiel og økonomisk krise) – for Brøndby Kommune præget af følgende statistiske tendenser:</w:t>
      </w:r>
    </w:p>
    <w:p w:rsidR="006D04C4" w:rsidRPr="00CD5480" w:rsidRDefault="006D04C4" w:rsidP="006D04C4">
      <w:pPr>
        <w:pStyle w:val="Normal1"/>
        <w:rPr>
          <w:rFonts w:ascii="Arial" w:hAnsi="Arial" w:cs="Arial"/>
          <w:sz w:val="22"/>
          <w:szCs w:val="22"/>
          <w:highlight w:val="yellow"/>
        </w:rPr>
      </w:pP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Stigende befolkningstal (positiv udvikling i befolkningstallet)</w:t>
      </w: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Positiv flyttebalance (flere tilflyttere end fraflyttere)</w:t>
      </w: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 xml:space="preserve">Fødselsunderskud (flere dødsfald end fødsler) i den første periode 2009-2012, og fødselsoverskud (flere fødsler end dødsfald) i den sidste periode 2013-2016. </w:t>
      </w: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Fortætning i den eksisterende boligmasse, med undtagelse af 2009 (tendens til flere personer pr. boligkvadratmeter)</w:t>
      </w: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Lavt boligbyggeri, relativt – dog lidt højere end 2006-2008 (både sammenlignet med regionen og de historiske år). De kommende år forventes en markant stigning i antal boliger.</w:t>
      </w:r>
    </w:p>
    <w:p w:rsidR="006D04C4" w:rsidRPr="00CD5480" w:rsidRDefault="006D04C4" w:rsidP="006D04C4">
      <w:pPr>
        <w:pStyle w:val="Normal1"/>
        <w:rPr>
          <w:rFonts w:ascii="Arial" w:hAnsi="Arial" w:cs="Arial"/>
          <w:sz w:val="22"/>
          <w:szCs w:val="22"/>
          <w:highlight w:val="yellow"/>
        </w:rPr>
      </w:pPr>
    </w:p>
    <w:p w:rsidR="006D04C4" w:rsidRPr="00CD5480" w:rsidRDefault="00B304A7" w:rsidP="006D04C4">
      <w:pPr>
        <w:pStyle w:val="Normal1"/>
        <w:rPr>
          <w:rFonts w:ascii="Arial" w:hAnsi="Arial" w:cs="Arial"/>
          <w:sz w:val="22"/>
          <w:szCs w:val="22"/>
        </w:rPr>
      </w:pPr>
      <w:r w:rsidRPr="00CD5480">
        <w:rPr>
          <w:rFonts w:ascii="Arial" w:hAnsi="Arial" w:cs="Arial"/>
          <w:sz w:val="22"/>
          <w:szCs w:val="22"/>
        </w:rPr>
        <w:t>Årene</w:t>
      </w:r>
      <w:r w:rsidR="006D04C4" w:rsidRPr="00CD5480">
        <w:rPr>
          <w:rFonts w:ascii="Arial" w:hAnsi="Arial" w:cs="Arial"/>
          <w:sz w:val="22"/>
          <w:szCs w:val="22"/>
        </w:rPr>
        <w:t xml:space="preserve"> 2017</w:t>
      </w:r>
      <w:r w:rsidR="00B655DA">
        <w:rPr>
          <w:rFonts w:ascii="Arial" w:hAnsi="Arial" w:cs="Arial"/>
          <w:sz w:val="22"/>
          <w:szCs w:val="22"/>
        </w:rPr>
        <w:t xml:space="preserve"> -  2019</w:t>
      </w:r>
      <w:r w:rsidR="006D04C4" w:rsidRPr="00CD5480">
        <w:rPr>
          <w:rFonts w:ascii="Arial" w:hAnsi="Arial" w:cs="Arial"/>
          <w:sz w:val="22"/>
          <w:szCs w:val="22"/>
        </w:rPr>
        <w:t xml:space="preserve"> har ikke været præget af en økonomisk lavkonjunktur men har budt på følgende statistiske tendenser:</w:t>
      </w:r>
    </w:p>
    <w:p w:rsidR="006D04C4" w:rsidRPr="00CD5480" w:rsidRDefault="006D04C4" w:rsidP="006D04C4">
      <w:pPr>
        <w:pStyle w:val="Normal1"/>
        <w:rPr>
          <w:rFonts w:ascii="Arial" w:hAnsi="Arial" w:cs="Arial"/>
          <w:sz w:val="22"/>
          <w:szCs w:val="22"/>
        </w:rPr>
      </w:pP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Et fald i befolkningstallet</w:t>
      </w:r>
      <w:r w:rsidR="00B655DA">
        <w:rPr>
          <w:rFonts w:ascii="Arial" w:hAnsi="Arial" w:cs="Arial"/>
          <w:sz w:val="22"/>
          <w:szCs w:val="22"/>
        </w:rPr>
        <w:t xml:space="preserve"> i alle tre år.</w:t>
      </w:r>
      <w:r w:rsidRPr="00CD5480">
        <w:rPr>
          <w:rFonts w:ascii="Arial" w:hAnsi="Arial" w:cs="Arial"/>
          <w:sz w:val="22"/>
          <w:szCs w:val="22"/>
        </w:rPr>
        <w:t xml:space="preserve"> </w:t>
      </w:r>
    </w:p>
    <w:p w:rsidR="00B655DA"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En negativ fødselsbalance</w:t>
      </w:r>
      <w:r w:rsidR="00B304A7" w:rsidRPr="00CD5480">
        <w:rPr>
          <w:rFonts w:ascii="Arial" w:hAnsi="Arial" w:cs="Arial"/>
          <w:sz w:val="22"/>
          <w:szCs w:val="22"/>
        </w:rPr>
        <w:t xml:space="preserve"> i 2017 men igen positiv i 2018</w:t>
      </w:r>
      <w:r w:rsidR="00B655DA">
        <w:rPr>
          <w:rFonts w:ascii="Arial" w:hAnsi="Arial" w:cs="Arial"/>
          <w:sz w:val="22"/>
          <w:szCs w:val="22"/>
        </w:rPr>
        <w:t xml:space="preserve"> og 2019.</w:t>
      </w:r>
    </w:p>
    <w:p w:rsidR="006D04C4" w:rsidRPr="00CD5480" w:rsidRDefault="006D04C4" w:rsidP="006D04C4">
      <w:pPr>
        <w:pStyle w:val="Normal1"/>
        <w:numPr>
          <w:ilvl w:val="0"/>
          <w:numId w:val="36"/>
        </w:numPr>
        <w:rPr>
          <w:rFonts w:ascii="Arial" w:hAnsi="Arial" w:cs="Arial"/>
          <w:sz w:val="22"/>
          <w:szCs w:val="22"/>
        </w:rPr>
      </w:pPr>
      <w:r w:rsidRPr="00CD5480">
        <w:rPr>
          <w:rFonts w:ascii="Arial" w:hAnsi="Arial" w:cs="Arial"/>
          <w:sz w:val="22"/>
          <w:szCs w:val="22"/>
        </w:rPr>
        <w:t>En positiv flyttebalance</w:t>
      </w:r>
      <w:r w:rsidR="00B655DA">
        <w:rPr>
          <w:rFonts w:ascii="Arial" w:hAnsi="Arial" w:cs="Arial"/>
          <w:sz w:val="22"/>
          <w:szCs w:val="22"/>
        </w:rPr>
        <w:t xml:space="preserve"> i 2017 men negativ i både 2018 og 2019 (flere fraflyttere end tilflyttere),</w:t>
      </w:r>
      <w:r w:rsidRPr="00CD5480">
        <w:rPr>
          <w:rFonts w:ascii="Arial" w:hAnsi="Arial" w:cs="Arial"/>
          <w:sz w:val="22"/>
          <w:szCs w:val="22"/>
        </w:rPr>
        <w:t xml:space="preserve"> </w:t>
      </w:r>
      <w:r w:rsidR="00B655DA">
        <w:rPr>
          <w:rFonts w:ascii="Arial" w:hAnsi="Arial" w:cs="Arial"/>
          <w:sz w:val="22"/>
          <w:szCs w:val="22"/>
        </w:rPr>
        <w:t>Prognosemæssigt har der faktisk været lidt flere tilflyttere end forventet men samtidig er antal fraflyttere noget højere end det forventede</w:t>
      </w:r>
      <w:r w:rsidR="00B304A7" w:rsidRPr="00CD5480">
        <w:rPr>
          <w:rFonts w:ascii="Arial" w:hAnsi="Arial" w:cs="Arial"/>
          <w:sz w:val="22"/>
          <w:szCs w:val="22"/>
        </w:rPr>
        <w:t>.</w:t>
      </w:r>
    </w:p>
    <w:p w:rsidR="006D04C4" w:rsidRPr="00CD5480" w:rsidRDefault="006D04C4" w:rsidP="006D04C4">
      <w:pPr>
        <w:pStyle w:val="Normal1"/>
        <w:rPr>
          <w:rFonts w:ascii="Arial" w:hAnsi="Arial" w:cs="Arial"/>
          <w:sz w:val="22"/>
          <w:szCs w:val="22"/>
        </w:rPr>
      </w:pPr>
    </w:p>
    <w:p w:rsidR="006D04C4" w:rsidRPr="00CD5480" w:rsidRDefault="006D04C4" w:rsidP="006D04C4">
      <w:pPr>
        <w:pStyle w:val="Normal1"/>
        <w:rPr>
          <w:rFonts w:ascii="Arial" w:hAnsi="Arial" w:cs="Arial"/>
          <w:sz w:val="22"/>
          <w:szCs w:val="22"/>
        </w:rPr>
      </w:pPr>
      <w:r w:rsidRPr="00CD5480">
        <w:rPr>
          <w:rFonts w:ascii="Arial" w:hAnsi="Arial" w:cs="Arial"/>
          <w:sz w:val="22"/>
          <w:szCs w:val="22"/>
        </w:rPr>
        <w:t>De forskelligartede tendenser indvirker på forskellig måde på prognosen. Endvidere er der foretaget en vægtning af de historiske års betydning for prognoseårene, f.eks. således at øjeblikkelige tendenser ”får lov” til at virke stærkere i de første prognoseår, mens tendensen udjævnes til en ”normal” situation i de senere progn</w:t>
      </w:r>
      <w:r w:rsidR="00B304A7" w:rsidRPr="00CD5480">
        <w:rPr>
          <w:rFonts w:ascii="Arial" w:hAnsi="Arial" w:cs="Arial"/>
          <w:sz w:val="22"/>
          <w:szCs w:val="22"/>
        </w:rPr>
        <w:t>oseår. Dette uddybes i kapitel 2</w:t>
      </w:r>
      <w:r w:rsidRPr="00CD5480">
        <w:rPr>
          <w:rFonts w:ascii="Arial" w:hAnsi="Arial" w:cs="Arial"/>
          <w:sz w:val="22"/>
          <w:szCs w:val="22"/>
        </w:rPr>
        <w:t xml:space="preserve"> om prognosemodellen.</w:t>
      </w:r>
    </w:p>
    <w:p w:rsidR="006D04C4" w:rsidRPr="00CD5480" w:rsidRDefault="006D04C4" w:rsidP="006D04C4">
      <w:pPr>
        <w:pStyle w:val="Normal1"/>
        <w:rPr>
          <w:rFonts w:ascii="Arial" w:hAnsi="Arial" w:cs="Arial"/>
          <w:sz w:val="22"/>
          <w:szCs w:val="22"/>
          <w:highlight w:val="yellow"/>
        </w:rPr>
      </w:pPr>
    </w:p>
    <w:p w:rsidR="006D04C4" w:rsidRPr="00CD5480" w:rsidRDefault="006D04C4" w:rsidP="006D04C4">
      <w:pPr>
        <w:pStyle w:val="Normal1"/>
        <w:rPr>
          <w:rFonts w:ascii="Arial" w:hAnsi="Arial" w:cs="Arial"/>
          <w:sz w:val="22"/>
          <w:szCs w:val="22"/>
        </w:rPr>
      </w:pPr>
      <w:r w:rsidRPr="00CD5480">
        <w:rPr>
          <w:rFonts w:ascii="Arial" w:hAnsi="Arial" w:cs="Arial"/>
          <w:sz w:val="22"/>
          <w:szCs w:val="22"/>
        </w:rPr>
        <w:t>Fremadrettet forventer prognosen følgende statistiske tendenser:</w:t>
      </w:r>
    </w:p>
    <w:p w:rsidR="006D04C4" w:rsidRPr="00CD5480" w:rsidRDefault="006D04C4" w:rsidP="006D04C4">
      <w:pPr>
        <w:pStyle w:val="Normal1"/>
        <w:rPr>
          <w:rFonts w:ascii="Arial" w:hAnsi="Arial" w:cs="Arial"/>
          <w:sz w:val="22"/>
          <w:szCs w:val="22"/>
          <w:highlight w:val="yellow"/>
        </w:rPr>
      </w:pPr>
    </w:p>
    <w:p w:rsidR="006D04C4" w:rsidRPr="00CD5480" w:rsidRDefault="006D04C4" w:rsidP="006D04C4">
      <w:pPr>
        <w:pStyle w:val="Normal1"/>
        <w:numPr>
          <w:ilvl w:val="0"/>
          <w:numId w:val="37"/>
        </w:numPr>
        <w:rPr>
          <w:rFonts w:ascii="Arial" w:hAnsi="Arial" w:cs="Arial"/>
          <w:sz w:val="22"/>
          <w:szCs w:val="22"/>
        </w:rPr>
      </w:pPr>
      <w:r w:rsidRPr="00CD5480">
        <w:rPr>
          <w:rFonts w:ascii="Arial" w:hAnsi="Arial" w:cs="Arial"/>
          <w:sz w:val="22"/>
          <w:szCs w:val="22"/>
        </w:rPr>
        <w:lastRenderedPageBreak/>
        <w:t>Stigende befolkningstal (positiv befolkningsudvikling) frem til</w:t>
      </w:r>
      <w:r w:rsidR="00B655DA">
        <w:rPr>
          <w:rFonts w:ascii="Arial" w:hAnsi="Arial" w:cs="Arial"/>
          <w:sz w:val="22"/>
          <w:szCs w:val="22"/>
        </w:rPr>
        <w:t xml:space="preserve"> og med 2030</w:t>
      </w:r>
      <w:r w:rsidRPr="00CD5480">
        <w:rPr>
          <w:rFonts w:ascii="Arial" w:hAnsi="Arial" w:cs="Arial"/>
          <w:sz w:val="22"/>
          <w:szCs w:val="22"/>
        </w:rPr>
        <w:t xml:space="preserve">, hvor det topper med knap </w:t>
      </w:r>
      <w:r w:rsidR="00B655DA">
        <w:rPr>
          <w:rFonts w:ascii="Arial" w:hAnsi="Arial" w:cs="Arial"/>
          <w:sz w:val="22"/>
          <w:szCs w:val="22"/>
        </w:rPr>
        <w:t>ca. 39.2</w:t>
      </w:r>
      <w:r w:rsidRPr="00CD5480">
        <w:rPr>
          <w:rFonts w:ascii="Arial" w:hAnsi="Arial" w:cs="Arial"/>
          <w:sz w:val="22"/>
          <w:szCs w:val="22"/>
        </w:rPr>
        <w:t>00 borgere.</w:t>
      </w:r>
    </w:p>
    <w:p w:rsidR="006D04C4" w:rsidRPr="008E1A5F" w:rsidRDefault="006D04C4" w:rsidP="006D04C4">
      <w:pPr>
        <w:pStyle w:val="Normal1"/>
        <w:numPr>
          <w:ilvl w:val="0"/>
          <w:numId w:val="37"/>
        </w:numPr>
        <w:rPr>
          <w:rFonts w:ascii="Arial" w:hAnsi="Arial" w:cs="Arial"/>
          <w:sz w:val="22"/>
          <w:szCs w:val="22"/>
        </w:rPr>
      </w:pPr>
      <w:r w:rsidRPr="008E1A5F">
        <w:rPr>
          <w:rFonts w:ascii="Arial" w:hAnsi="Arial" w:cs="Arial"/>
          <w:sz w:val="22"/>
          <w:szCs w:val="22"/>
        </w:rPr>
        <w:t>Positiv flyttebalance (flere tilflyttere en</w:t>
      </w:r>
      <w:r w:rsidR="00B655DA" w:rsidRPr="008E1A5F">
        <w:rPr>
          <w:rFonts w:ascii="Arial" w:hAnsi="Arial" w:cs="Arial"/>
          <w:sz w:val="22"/>
          <w:szCs w:val="22"/>
        </w:rPr>
        <w:t>d fraflyttere) fra 2020 til 2025 mens den frem mod 2030</w:t>
      </w:r>
      <w:r w:rsidR="00B304A7" w:rsidRPr="008E1A5F">
        <w:rPr>
          <w:rFonts w:ascii="Arial" w:hAnsi="Arial" w:cs="Arial"/>
          <w:sz w:val="22"/>
          <w:szCs w:val="22"/>
        </w:rPr>
        <w:t xml:space="preserve"> overvejende er negativ</w:t>
      </w:r>
      <w:r w:rsidRPr="008E1A5F">
        <w:rPr>
          <w:rFonts w:ascii="Arial" w:hAnsi="Arial" w:cs="Arial"/>
          <w:sz w:val="22"/>
          <w:szCs w:val="22"/>
        </w:rPr>
        <w:t xml:space="preserve">.  </w:t>
      </w:r>
    </w:p>
    <w:p w:rsidR="006D04C4" w:rsidRPr="00CD5480" w:rsidRDefault="006D04C4" w:rsidP="006D04C4">
      <w:pPr>
        <w:pStyle w:val="Normal1"/>
        <w:numPr>
          <w:ilvl w:val="0"/>
          <w:numId w:val="37"/>
        </w:numPr>
        <w:rPr>
          <w:rFonts w:ascii="Arial" w:hAnsi="Arial" w:cs="Arial"/>
          <w:sz w:val="22"/>
          <w:szCs w:val="22"/>
        </w:rPr>
      </w:pPr>
      <w:r w:rsidRPr="00CD5480">
        <w:rPr>
          <w:rFonts w:ascii="Arial" w:hAnsi="Arial" w:cs="Arial"/>
          <w:sz w:val="22"/>
          <w:szCs w:val="22"/>
        </w:rPr>
        <w:t>Et stabilt fødselsovers</w:t>
      </w:r>
      <w:r w:rsidR="008E1A5F">
        <w:rPr>
          <w:rFonts w:ascii="Arial" w:hAnsi="Arial" w:cs="Arial"/>
          <w:sz w:val="22"/>
          <w:szCs w:val="22"/>
        </w:rPr>
        <w:t>kud i hele prognoseperioden 2020-2030</w:t>
      </w:r>
      <w:r w:rsidRPr="00CD5480">
        <w:rPr>
          <w:rFonts w:ascii="Arial" w:hAnsi="Arial" w:cs="Arial"/>
          <w:sz w:val="22"/>
          <w:szCs w:val="22"/>
        </w:rPr>
        <w:t>.</w:t>
      </w:r>
    </w:p>
    <w:p w:rsidR="006D04C4" w:rsidRPr="008E1A5F" w:rsidRDefault="006D04C4" w:rsidP="006D04C4">
      <w:pPr>
        <w:pStyle w:val="Normal1"/>
        <w:numPr>
          <w:ilvl w:val="0"/>
          <w:numId w:val="37"/>
        </w:numPr>
        <w:rPr>
          <w:rFonts w:ascii="Arial" w:hAnsi="Arial" w:cs="Arial"/>
          <w:sz w:val="22"/>
          <w:szCs w:val="22"/>
        </w:rPr>
      </w:pPr>
      <w:r w:rsidRPr="008E1A5F">
        <w:rPr>
          <w:rFonts w:ascii="Arial" w:hAnsi="Arial" w:cs="Arial"/>
          <w:sz w:val="22"/>
          <w:szCs w:val="22"/>
        </w:rPr>
        <w:t xml:space="preserve">Fortætning i den eksisterende boligmasse først </w:t>
      </w:r>
      <w:r w:rsidR="008E1A5F" w:rsidRPr="008E1A5F">
        <w:rPr>
          <w:rFonts w:ascii="Arial" w:hAnsi="Arial" w:cs="Arial"/>
          <w:sz w:val="22"/>
          <w:szCs w:val="22"/>
        </w:rPr>
        <w:t>i prognoseperioden (2018-2020</w:t>
      </w:r>
      <w:r w:rsidRPr="008E1A5F">
        <w:rPr>
          <w:rFonts w:ascii="Arial" w:hAnsi="Arial" w:cs="Arial"/>
          <w:sz w:val="22"/>
          <w:szCs w:val="22"/>
        </w:rPr>
        <w:t>) og derefter jævn udtynding i den eksisterende boligma</w:t>
      </w:r>
      <w:r w:rsidR="008E1A5F" w:rsidRPr="008E1A5F">
        <w:rPr>
          <w:rFonts w:ascii="Arial" w:hAnsi="Arial" w:cs="Arial"/>
          <w:sz w:val="22"/>
          <w:szCs w:val="22"/>
        </w:rPr>
        <w:t>sse i prognoseperioden (fra 2020</w:t>
      </w:r>
      <w:r w:rsidRPr="008E1A5F">
        <w:rPr>
          <w:rFonts w:ascii="Arial" w:hAnsi="Arial" w:cs="Arial"/>
          <w:sz w:val="22"/>
          <w:szCs w:val="22"/>
        </w:rPr>
        <w:t xml:space="preserve"> og fre</w:t>
      </w:r>
      <w:r w:rsidR="008E1A5F" w:rsidRPr="008E1A5F">
        <w:rPr>
          <w:rFonts w:ascii="Arial" w:hAnsi="Arial" w:cs="Arial"/>
          <w:sz w:val="22"/>
          <w:szCs w:val="22"/>
        </w:rPr>
        <w:t>m til prognosens sidste år, 2030</w:t>
      </w:r>
      <w:r w:rsidRPr="008E1A5F">
        <w:rPr>
          <w:rFonts w:ascii="Arial" w:hAnsi="Arial" w:cs="Arial"/>
          <w:sz w:val="22"/>
          <w:szCs w:val="22"/>
        </w:rPr>
        <w:t>)</w:t>
      </w:r>
      <w:r w:rsidR="008E1A5F">
        <w:rPr>
          <w:rFonts w:ascii="Arial" w:hAnsi="Arial" w:cs="Arial"/>
          <w:sz w:val="22"/>
          <w:szCs w:val="22"/>
        </w:rPr>
        <w:t>.</w:t>
      </w:r>
    </w:p>
    <w:p w:rsidR="006D04C4" w:rsidRPr="00CD5480" w:rsidRDefault="006D04C4" w:rsidP="006D04C4">
      <w:pPr>
        <w:pStyle w:val="Normal1"/>
        <w:numPr>
          <w:ilvl w:val="0"/>
          <w:numId w:val="37"/>
        </w:numPr>
        <w:rPr>
          <w:rFonts w:ascii="Arial" w:hAnsi="Arial" w:cs="Arial"/>
          <w:color w:val="auto"/>
          <w:sz w:val="22"/>
          <w:szCs w:val="22"/>
        </w:rPr>
      </w:pPr>
      <w:r w:rsidRPr="00CD5480">
        <w:rPr>
          <w:rFonts w:ascii="Arial" w:hAnsi="Arial" w:cs="Arial"/>
          <w:color w:val="auto"/>
          <w:sz w:val="22"/>
          <w:szCs w:val="22"/>
        </w:rPr>
        <w:t>Et markant højere forventet boligbyggeri</w:t>
      </w:r>
      <w:r w:rsidRPr="00CD5480">
        <w:rPr>
          <w:rStyle w:val="Fodnotehenvisning"/>
          <w:rFonts w:ascii="Arial" w:hAnsi="Arial" w:cs="Arial"/>
          <w:color w:val="auto"/>
          <w:sz w:val="22"/>
          <w:szCs w:val="22"/>
        </w:rPr>
        <w:footnoteReference w:id="1"/>
      </w:r>
      <w:r w:rsidRPr="00CD5480">
        <w:rPr>
          <w:rFonts w:ascii="Arial" w:hAnsi="Arial" w:cs="Arial"/>
          <w:color w:val="auto"/>
          <w:sz w:val="22"/>
          <w:szCs w:val="22"/>
        </w:rPr>
        <w:t xml:space="preserve"> end i de seneste 5 år. Her er det byudviklingsprojektet i Kirkebjerg, som e</w:t>
      </w:r>
      <w:r w:rsidR="00B655DA">
        <w:rPr>
          <w:rFonts w:ascii="Arial" w:hAnsi="Arial" w:cs="Arial"/>
          <w:color w:val="auto"/>
          <w:sz w:val="22"/>
          <w:szCs w:val="22"/>
        </w:rPr>
        <w:t>r hoveddrivkraften med anslået 2.1</w:t>
      </w:r>
      <w:r w:rsidRPr="00CD5480">
        <w:rPr>
          <w:rFonts w:ascii="Arial" w:hAnsi="Arial" w:cs="Arial"/>
          <w:color w:val="auto"/>
          <w:sz w:val="22"/>
          <w:szCs w:val="22"/>
        </w:rPr>
        <w:t>00 nye boliger</w:t>
      </w:r>
      <w:r w:rsidR="00B304A7" w:rsidRPr="00CD5480">
        <w:rPr>
          <w:rFonts w:ascii="Arial" w:hAnsi="Arial" w:cs="Arial"/>
          <w:color w:val="auto"/>
          <w:sz w:val="22"/>
          <w:szCs w:val="22"/>
        </w:rPr>
        <w:t xml:space="preserve"> frem mod 2025. Ydermere</w:t>
      </w:r>
      <w:r w:rsidRPr="00CD5480">
        <w:rPr>
          <w:rFonts w:ascii="Arial" w:hAnsi="Arial" w:cs="Arial"/>
          <w:color w:val="auto"/>
          <w:sz w:val="22"/>
          <w:szCs w:val="22"/>
        </w:rPr>
        <w:t xml:space="preserve"> er der blandt andet</w:t>
      </w:r>
      <w:r w:rsidR="00B304A7" w:rsidRPr="00CD5480">
        <w:rPr>
          <w:rFonts w:ascii="Arial" w:hAnsi="Arial" w:cs="Arial"/>
          <w:color w:val="auto"/>
          <w:sz w:val="22"/>
          <w:szCs w:val="22"/>
        </w:rPr>
        <w:t xml:space="preserve"> også</w:t>
      </w:r>
      <w:r w:rsidRPr="00CD5480">
        <w:rPr>
          <w:rFonts w:ascii="Arial" w:hAnsi="Arial" w:cs="Arial"/>
          <w:color w:val="auto"/>
          <w:sz w:val="22"/>
          <w:szCs w:val="22"/>
        </w:rPr>
        <w:t xml:space="preserve"> opførelse af ungdomsboliger m.m., som er medtaget i boligbyggeprogrammet. Byggeaktivit</w:t>
      </w:r>
      <w:r w:rsidR="00B655DA">
        <w:rPr>
          <w:rFonts w:ascii="Arial" w:hAnsi="Arial" w:cs="Arial"/>
          <w:color w:val="auto"/>
          <w:sz w:val="22"/>
          <w:szCs w:val="22"/>
        </w:rPr>
        <w:t>eterne har effekt fra 2021</w:t>
      </w:r>
      <w:r w:rsidR="00B304A7" w:rsidRPr="00CD5480">
        <w:rPr>
          <w:rFonts w:ascii="Arial" w:hAnsi="Arial" w:cs="Arial"/>
          <w:color w:val="auto"/>
          <w:sz w:val="22"/>
          <w:szCs w:val="22"/>
        </w:rPr>
        <w:t xml:space="preserve"> </w:t>
      </w:r>
      <w:r w:rsidRPr="00CD5480">
        <w:rPr>
          <w:rFonts w:ascii="Arial" w:hAnsi="Arial" w:cs="Arial"/>
          <w:color w:val="auto"/>
          <w:sz w:val="22"/>
          <w:szCs w:val="22"/>
        </w:rPr>
        <w:t xml:space="preserve">og fremefter. </w:t>
      </w:r>
    </w:p>
    <w:p w:rsidR="006D04C4" w:rsidRPr="00CD5480" w:rsidRDefault="006D04C4" w:rsidP="006D04C4">
      <w:pPr>
        <w:pStyle w:val="Normal1"/>
        <w:ind w:left="720"/>
        <w:rPr>
          <w:rFonts w:ascii="Arial" w:hAnsi="Arial" w:cs="Arial"/>
          <w:sz w:val="22"/>
          <w:szCs w:val="22"/>
          <w:highlight w:val="yellow"/>
        </w:rPr>
      </w:pPr>
    </w:p>
    <w:p w:rsidR="006D04C4" w:rsidRPr="00CD5480" w:rsidRDefault="006D04C4" w:rsidP="006D04C4">
      <w:pPr>
        <w:pStyle w:val="Normal1"/>
        <w:rPr>
          <w:rFonts w:ascii="Arial" w:hAnsi="Arial" w:cs="Arial"/>
          <w:sz w:val="22"/>
          <w:szCs w:val="22"/>
        </w:rPr>
      </w:pPr>
      <w:r w:rsidRPr="00CD5480">
        <w:rPr>
          <w:rFonts w:ascii="Arial" w:hAnsi="Arial" w:cs="Arial"/>
          <w:sz w:val="22"/>
          <w:szCs w:val="22"/>
        </w:rPr>
        <w:t xml:space="preserve">Forudsætningerne for beregningen af befolkningsprognosen vil i øvrigt blive gennemgået mere indgående i kapitel </w:t>
      </w:r>
      <w:r w:rsidRPr="00CD5480">
        <w:rPr>
          <w:rFonts w:ascii="Arial" w:hAnsi="Arial" w:cs="Arial"/>
          <w:color w:val="auto"/>
          <w:sz w:val="22"/>
          <w:szCs w:val="22"/>
        </w:rPr>
        <w:t>5</w:t>
      </w:r>
      <w:r w:rsidRPr="00CD5480">
        <w:rPr>
          <w:rFonts w:ascii="Arial" w:hAnsi="Arial" w:cs="Arial"/>
          <w:color w:val="FF0000"/>
          <w:sz w:val="22"/>
          <w:szCs w:val="22"/>
        </w:rPr>
        <w:t xml:space="preserve"> </w:t>
      </w:r>
      <w:r w:rsidRPr="00CD5480">
        <w:rPr>
          <w:rFonts w:ascii="Arial" w:hAnsi="Arial" w:cs="Arial"/>
          <w:sz w:val="22"/>
          <w:szCs w:val="22"/>
        </w:rPr>
        <w:t>om prognosemodellen.</w:t>
      </w:r>
      <w:bookmarkEnd w:id="1"/>
    </w:p>
    <w:p w:rsidR="006D04C4" w:rsidRPr="00A703BE" w:rsidRDefault="006D04C4" w:rsidP="006D04C4">
      <w:pPr>
        <w:pStyle w:val="Overskrift2"/>
        <w:keepLines w:val="0"/>
        <w:numPr>
          <w:ilvl w:val="1"/>
          <w:numId w:val="5"/>
        </w:numPr>
        <w:spacing w:before="240" w:after="60"/>
        <w:jc w:val="both"/>
      </w:pPr>
      <w:bookmarkStart w:id="8" w:name="_Toc6400694"/>
      <w:bookmarkStart w:id="9" w:name="_Toc38361226"/>
      <w:r w:rsidRPr="00A703BE">
        <w:t>Strukturreformer og forståelsen af prognosen</w:t>
      </w:r>
      <w:bookmarkEnd w:id="8"/>
      <w:bookmarkEnd w:id="9"/>
    </w:p>
    <w:p w:rsidR="006D04C4" w:rsidRPr="00CD5480" w:rsidRDefault="006D04C4" w:rsidP="006D04C4">
      <w:pPr>
        <w:pStyle w:val="Normal1"/>
        <w:rPr>
          <w:rFonts w:ascii="Arial" w:hAnsi="Arial" w:cs="Arial"/>
          <w:sz w:val="22"/>
          <w:szCs w:val="22"/>
          <w:lang w:eastAsia="en-US"/>
        </w:rPr>
      </w:pPr>
      <w:r w:rsidRPr="00CD5480">
        <w:rPr>
          <w:rFonts w:ascii="Arial" w:hAnsi="Arial" w:cs="Arial"/>
          <w:sz w:val="22"/>
          <w:szCs w:val="22"/>
          <w:lang w:eastAsia="en-US"/>
        </w:rPr>
        <w:t>Politiske beslutninger og strukturelle reformer såsom ændringer i tilbagetrækningsalderen, ændringer i det offentlige service- og skatteniveau eller lignende kan både medvirke til at ændre befolkningens adfærd og til at ændre forståelsen/tolkningen af prognosens resultater. En konsekvens kunne f.eks. være, at det blev nødvendigt at ændre den aldersmæssige definition af gruppen ”ældre” og gruppen ”erhvervsaktive”.</w:t>
      </w:r>
    </w:p>
    <w:p w:rsidR="006D04C4" w:rsidRPr="00CD5480" w:rsidRDefault="006D04C4" w:rsidP="006D04C4">
      <w:pPr>
        <w:pStyle w:val="Normal1"/>
        <w:rPr>
          <w:rFonts w:ascii="Arial" w:hAnsi="Arial" w:cs="Arial"/>
          <w:sz w:val="22"/>
          <w:szCs w:val="22"/>
          <w:lang w:eastAsia="en-US"/>
        </w:rPr>
      </w:pPr>
    </w:p>
    <w:p w:rsidR="006D04C4" w:rsidRPr="00CD5480" w:rsidRDefault="006D04C4" w:rsidP="006D04C4">
      <w:pPr>
        <w:pStyle w:val="Normal1"/>
        <w:rPr>
          <w:rFonts w:ascii="Arial" w:hAnsi="Arial" w:cs="Arial"/>
          <w:sz w:val="22"/>
          <w:szCs w:val="22"/>
          <w:lang w:eastAsia="en-US"/>
        </w:rPr>
      </w:pPr>
      <w:r w:rsidRPr="00CD5480">
        <w:rPr>
          <w:rFonts w:ascii="Arial" w:hAnsi="Arial" w:cs="Arial"/>
          <w:i/>
          <w:sz w:val="22"/>
          <w:szCs w:val="22"/>
          <w:lang w:eastAsia="en-US"/>
        </w:rPr>
        <w:t>Tilbagetrækningsreformen</w:t>
      </w:r>
      <w:r w:rsidRPr="00CD5480">
        <w:rPr>
          <w:rFonts w:ascii="Arial" w:hAnsi="Arial" w:cs="Arial"/>
          <w:sz w:val="22"/>
          <w:szCs w:val="22"/>
          <w:lang w:eastAsia="en-US"/>
        </w:rPr>
        <w:t xml:space="preserve">, som trådte i kraft 1. januar 2012, ændrer ved efterlønsperioden, efterlønsalderen og folkepensionsalderen. Ændringerne er kraftigere, end dem som blev vedtaget med det såkaldte </w:t>
      </w:r>
      <w:r w:rsidRPr="00CD5480">
        <w:rPr>
          <w:rFonts w:ascii="Arial" w:hAnsi="Arial" w:cs="Arial"/>
          <w:i/>
          <w:sz w:val="22"/>
          <w:szCs w:val="22"/>
          <w:lang w:eastAsia="en-US"/>
        </w:rPr>
        <w:t>Velfærdsforlig</w:t>
      </w:r>
      <w:r w:rsidRPr="00CD5480">
        <w:rPr>
          <w:rFonts w:ascii="Arial" w:hAnsi="Arial" w:cs="Arial"/>
          <w:sz w:val="22"/>
          <w:szCs w:val="22"/>
          <w:lang w:eastAsia="en-US"/>
        </w:rPr>
        <w:t xml:space="preserve"> fra 2006.</w:t>
      </w:r>
    </w:p>
    <w:p w:rsidR="006D04C4" w:rsidRPr="00CD5480" w:rsidRDefault="006D04C4" w:rsidP="006D04C4">
      <w:pPr>
        <w:pStyle w:val="Normal1"/>
        <w:rPr>
          <w:rFonts w:ascii="Arial" w:hAnsi="Arial" w:cs="Arial"/>
          <w:sz w:val="22"/>
          <w:szCs w:val="22"/>
          <w:lang w:eastAsia="en-US"/>
        </w:rPr>
      </w:pPr>
    </w:p>
    <w:p w:rsidR="006D04C4" w:rsidRPr="00CD5480" w:rsidRDefault="006D04C4" w:rsidP="006D04C4">
      <w:pPr>
        <w:pStyle w:val="Normal1"/>
        <w:rPr>
          <w:rFonts w:ascii="Arial" w:hAnsi="Arial" w:cs="Arial"/>
          <w:sz w:val="22"/>
          <w:szCs w:val="22"/>
          <w:lang w:eastAsia="en-US"/>
        </w:rPr>
      </w:pPr>
      <w:r w:rsidRPr="00CD5480">
        <w:rPr>
          <w:rFonts w:ascii="Arial" w:hAnsi="Arial" w:cs="Arial"/>
          <w:sz w:val="22"/>
          <w:szCs w:val="22"/>
          <w:lang w:eastAsia="en-US"/>
        </w:rPr>
        <w:t xml:space="preserve">Hovedpunkterne i henholdsvis </w:t>
      </w:r>
      <w:r w:rsidRPr="00CD5480">
        <w:rPr>
          <w:rFonts w:ascii="Arial" w:hAnsi="Arial" w:cs="Arial"/>
          <w:i/>
          <w:sz w:val="22"/>
          <w:szCs w:val="22"/>
          <w:lang w:eastAsia="en-US"/>
        </w:rPr>
        <w:t xml:space="preserve">Tilbagetrækningsreformen 2012 </w:t>
      </w:r>
      <w:r w:rsidRPr="00CD5480">
        <w:rPr>
          <w:rFonts w:ascii="Arial" w:hAnsi="Arial" w:cs="Arial"/>
          <w:sz w:val="22"/>
          <w:szCs w:val="22"/>
          <w:lang w:eastAsia="en-US"/>
        </w:rPr>
        <w:t xml:space="preserve">og </w:t>
      </w:r>
      <w:r w:rsidRPr="00CD5480">
        <w:rPr>
          <w:rFonts w:ascii="Arial" w:hAnsi="Arial" w:cs="Arial"/>
          <w:i/>
          <w:sz w:val="22"/>
          <w:szCs w:val="22"/>
          <w:lang w:eastAsia="en-US"/>
        </w:rPr>
        <w:t>Velfærdsforliget</w:t>
      </w:r>
      <w:r w:rsidRPr="00CD5480">
        <w:rPr>
          <w:rFonts w:ascii="Arial" w:hAnsi="Arial" w:cs="Arial"/>
          <w:sz w:val="22"/>
          <w:szCs w:val="22"/>
          <w:lang w:eastAsia="en-US"/>
        </w:rPr>
        <w:t xml:space="preserve"> </w:t>
      </w:r>
      <w:r w:rsidRPr="00CD5480">
        <w:rPr>
          <w:rFonts w:ascii="Arial" w:hAnsi="Arial" w:cs="Arial"/>
          <w:i/>
          <w:sz w:val="22"/>
          <w:szCs w:val="22"/>
          <w:lang w:eastAsia="en-US"/>
        </w:rPr>
        <w:t>2006</w:t>
      </w:r>
      <w:r w:rsidRPr="00CD5480">
        <w:rPr>
          <w:rFonts w:ascii="Arial" w:hAnsi="Arial" w:cs="Arial"/>
          <w:sz w:val="22"/>
          <w:szCs w:val="22"/>
          <w:lang w:eastAsia="en-US"/>
        </w:rPr>
        <w:t xml:space="preserve"> er følgende:</w:t>
      </w:r>
    </w:p>
    <w:p w:rsidR="006D04C4" w:rsidRPr="00CD5480" w:rsidRDefault="006D04C4" w:rsidP="006D04C4">
      <w:pPr>
        <w:rPr>
          <w:rFonts w:cs="Arial"/>
          <w:b/>
          <w:bCs/>
          <w:szCs w:val="22"/>
        </w:rPr>
      </w:pPr>
    </w:p>
    <w:p w:rsidR="006D04C4" w:rsidRPr="00CD5480" w:rsidRDefault="006D04C4" w:rsidP="006D04C4">
      <w:pPr>
        <w:pStyle w:val="Billedtekst"/>
        <w:rPr>
          <w:rFonts w:ascii="Arial" w:hAnsi="Arial" w:cs="Arial"/>
          <w:sz w:val="22"/>
          <w:szCs w:val="22"/>
        </w:rPr>
      </w:pPr>
      <w:r w:rsidRPr="00657735">
        <w:rPr>
          <w:rFonts w:ascii="Arial" w:hAnsi="Arial" w:cs="Arial"/>
          <w:b/>
          <w:szCs w:val="18"/>
        </w:rPr>
        <w:t xml:space="preserve">Tabel </w:t>
      </w:r>
      <w:r w:rsidRPr="00657735">
        <w:rPr>
          <w:rFonts w:ascii="Arial" w:hAnsi="Arial" w:cs="Arial"/>
          <w:b/>
          <w:szCs w:val="18"/>
        </w:rPr>
        <w:fldChar w:fldCharType="begin"/>
      </w:r>
      <w:r w:rsidRPr="00657735">
        <w:rPr>
          <w:rFonts w:ascii="Arial" w:hAnsi="Arial" w:cs="Arial"/>
          <w:b/>
          <w:szCs w:val="18"/>
        </w:rPr>
        <w:instrText xml:space="preserve"> SEQ Tabel \* ARABIC </w:instrText>
      </w:r>
      <w:r w:rsidRPr="00657735">
        <w:rPr>
          <w:rFonts w:ascii="Arial" w:hAnsi="Arial" w:cs="Arial"/>
          <w:b/>
          <w:szCs w:val="18"/>
        </w:rPr>
        <w:fldChar w:fldCharType="separate"/>
      </w:r>
      <w:r w:rsidRPr="00657735">
        <w:rPr>
          <w:rFonts w:ascii="Arial" w:hAnsi="Arial" w:cs="Arial"/>
          <w:b/>
          <w:noProof/>
          <w:szCs w:val="18"/>
        </w:rPr>
        <w:t>1</w:t>
      </w:r>
      <w:r w:rsidRPr="00657735">
        <w:rPr>
          <w:rFonts w:ascii="Arial" w:hAnsi="Arial" w:cs="Arial"/>
          <w:b/>
          <w:szCs w:val="18"/>
        </w:rPr>
        <w:fldChar w:fldCharType="end"/>
      </w:r>
      <w:r w:rsidRPr="00657735">
        <w:rPr>
          <w:rFonts w:ascii="Arial" w:hAnsi="Arial" w:cs="Arial"/>
          <w:szCs w:val="18"/>
        </w:rPr>
        <w:t>. Velfærdsforlig 2006 og Tilbagetrækningsreform 2012</w:t>
      </w:r>
      <w:r w:rsidRPr="00CD5480">
        <w:rPr>
          <w:rFonts w:ascii="Arial" w:hAnsi="Arial" w:cs="Arial"/>
          <w:sz w:val="22"/>
          <w:szCs w:val="22"/>
        </w:rPr>
        <w:t>.</w:t>
      </w:r>
    </w:p>
    <w:tbl>
      <w:tblPr>
        <w:tblW w:w="5000" w:type="pct"/>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7"/>
        <w:gridCol w:w="3570"/>
        <w:gridCol w:w="4002"/>
      </w:tblGrid>
      <w:tr w:rsidR="006D04C4" w:rsidRPr="00657735" w:rsidTr="001D67AB">
        <w:trPr>
          <w:trHeight w:val="300"/>
        </w:trPr>
        <w:tc>
          <w:tcPr>
            <w:tcW w:w="1072" w:type="pct"/>
            <w:shd w:val="clear" w:color="auto" w:fill="auto"/>
            <w:noWrap/>
            <w:vAlign w:val="bottom"/>
            <w:hideMark/>
          </w:tcPr>
          <w:p w:rsidR="006D04C4" w:rsidRPr="00657735" w:rsidRDefault="006D04C4" w:rsidP="001D67AB">
            <w:pPr>
              <w:rPr>
                <w:rFonts w:cs="Arial"/>
                <w:color w:val="000000"/>
                <w:sz w:val="18"/>
                <w:szCs w:val="18"/>
              </w:rPr>
            </w:pPr>
            <w:r w:rsidRPr="00657735">
              <w:rPr>
                <w:rFonts w:cs="Arial"/>
                <w:color w:val="000000"/>
                <w:sz w:val="18"/>
                <w:szCs w:val="18"/>
              </w:rPr>
              <w:t> </w:t>
            </w:r>
          </w:p>
        </w:tc>
        <w:tc>
          <w:tcPr>
            <w:tcW w:w="1852" w:type="pct"/>
            <w:shd w:val="clear" w:color="auto" w:fill="auto"/>
            <w:noWrap/>
            <w:vAlign w:val="center"/>
            <w:hideMark/>
          </w:tcPr>
          <w:p w:rsidR="006D04C4" w:rsidRPr="00657735" w:rsidRDefault="006D04C4" w:rsidP="001D67AB">
            <w:pPr>
              <w:rPr>
                <w:rFonts w:cs="Arial"/>
                <w:b/>
                <w:bCs/>
                <w:color w:val="000000"/>
                <w:sz w:val="18"/>
                <w:szCs w:val="18"/>
              </w:rPr>
            </w:pPr>
            <w:r w:rsidRPr="00657735">
              <w:rPr>
                <w:rFonts w:cs="Arial"/>
                <w:b/>
                <w:bCs/>
                <w:color w:val="000000"/>
                <w:sz w:val="18"/>
                <w:szCs w:val="18"/>
              </w:rPr>
              <w:t>Velfærdsforlig 2006</w:t>
            </w:r>
          </w:p>
        </w:tc>
        <w:tc>
          <w:tcPr>
            <w:tcW w:w="2076" w:type="pct"/>
            <w:shd w:val="clear" w:color="auto" w:fill="auto"/>
            <w:noWrap/>
            <w:vAlign w:val="center"/>
            <w:hideMark/>
          </w:tcPr>
          <w:p w:rsidR="006D04C4" w:rsidRPr="00657735" w:rsidRDefault="006D04C4" w:rsidP="001D67AB">
            <w:pPr>
              <w:rPr>
                <w:rFonts w:cs="Arial"/>
                <w:b/>
                <w:bCs/>
                <w:color w:val="000000"/>
                <w:sz w:val="18"/>
                <w:szCs w:val="18"/>
              </w:rPr>
            </w:pPr>
            <w:r w:rsidRPr="00657735">
              <w:rPr>
                <w:rFonts w:cs="Arial"/>
                <w:b/>
                <w:bCs/>
                <w:color w:val="000000"/>
                <w:sz w:val="18"/>
                <w:szCs w:val="18"/>
              </w:rPr>
              <w:t>Tilbagetrækningsreform 2012</w:t>
            </w:r>
          </w:p>
        </w:tc>
      </w:tr>
      <w:tr w:rsidR="006D04C4" w:rsidRPr="00657735" w:rsidTr="001D67AB">
        <w:trPr>
          <w:trHeight w:val="1500"/>
        </w:trPr>
        <w:tc>
          <w:tcPr>
            <w:tcW w:w="1072" w:type="pct"/>
            <w:shd w:val="clear" w:color="auto" w:fill="auto"/>
            <w:noWrap/>
            <w:vAlign w:val="center"/>
            <w:hideMark/>
          </w:tcPr>
          <w:p w:rsidR="006D04C4" w:rsidRPr="00657735" w:rsidRDefault="006D04C4" w:rsidP="001D67AB">
            <w:pPr>
              <w:rPr>
                <w:rFonts w:cs="Arial"/>
                <w:b/>
                <w:bCs/>
                <w:color w:val="000000"/>
                <w:sz w:val="18"/>
                <w:szCs w:val="18"/>
              </w:rPr>
            </w:pPr>
            <w:r w:rsidRPr="00657735">
              <w:rPr>
                <w:rFonts w:cs="Arial"/>
                <w:b/>
                <w:bCs/>
                <w:color w:val="000000"/>
                <w:sz w:val="18"/>
                <w:szCs w:val="18"/>
              </w:rPr>
              <w:lastRenderedPageBreak/>
              <w:t>Efterlønsperioden</w:t>
            </w:r>
          </w:p>
        </w:tc>
        <w:tc>
          <w:tcPr>
            <w:tcW w:w="1852" w:type="pct"/>
            <w:shd w:val="clear" w:color="auto" w:fill="auto"/>
            <w:vAlign w:val="center"/>
            <w:hideMark/>
          </w:tcPr>
          <w:p w:rsidR="006D04C4" w:rsidRPr="00657735" w:rsidRDefault="006D04C4" w:rsidP="001D67AB">
            <w:pPr>
              <w:rPr>
                <w:rFonts w:cs="Arial"/>
                <w:color w:val="000000"/>
                <w:sz w:val="18"/>
                <w:szCs w:val="18"/>
              </w:rPr>
            </w:pPr>
            <w:r w:rsidRPr="00657735">
              <w:rPr>
                <w:rFonts w:cs="Arial"/>
                <w:color w:val="000000"/>
                <w:sz w:val="18"/>
                <w:szCs w:val="18"/>
              </w:rPr>
              <w:t>Ingen ændringer</w:t>
            </w:r>
          </w:p>
        </w:tc>
        <w:tc>
          <w:tcPr>
            <w:tcW w:w="2076" w:type="pct"/>
            <w:shd w:val="clear" w:color="auto" w:fill="auto"/>
            <w:vAlign w:val="center"/>
            <w:hideMark/>
          </w:tcPr>
          <w:p w:rsidR="006D04C4" w:rsidRPr="00657735" w:rsidRDefault="006D04C4" w:rsidP="001D67AB">
            <w:pPr>
              <w:rPr>
                <w:rFonts w:cs="Arial"/>
                <w:color w:val="000000"/>
                <w:sz w:val="18"/>
                <w:szCs w:val="18"/>
              </w:rPr>
            </w:pPr>
            <w:r w:rsidRPr="00657735">
              <w:rPr>
                <w:rFonts w:cs="Arial"/>
                <w:color w:val="000000"/>
                <w:sz w:val="18"/>
                <w:szCs w:val="18"/>
              </w:rPr>
              <w:t>Forkortes gradvist fra 5 år til 3 år i perioden 2018-2023</w:t>
            </w:r>
          </w:p>
        </w:tc>
      </w:tr>
      <w:tr w:rsidR="006D04C4" w:rsidRPr="00657735" w:rsidTr="001D67AB">
        <w:trPr>
          <w:trHeight w:val="1500"/>
        </w:trPr>
        <w:tc>
          <w:tcPr>
            <w:tcW w:w="1072" w:type="pct"/>
            <w:shd w:val="clear" w:color="auto" w:fill="auto"/>
            <w:noWrap/>
            <w:vAlign w:val="center"/>
            <w:hideMark/>
          </w:tcPr>
          <w:p w:rsidR="006D04C4" w:rsidRPr="00657735" w:rsidRDefault="006D04C4" w:rsidP="001D67AB">
            <w:pPr>
              <w:rPr>
                <w:rFonts w:cs="Arial"/>
                <w:b/>
                <w:bCs/>
                <w:color w:val="000000"/>
                <w:sz w:val="18"/>
                <w:szCs w:val="18"/>
              </w:rPr>
            </w:pPr>
            <w:r w:rsidRPr="00657735">
              <w:rPr>
                <w:rFonts w:cs="Arial"/>
                <w:b/>
                <w:bCs/>
                <w:color w:val="000000"/>
                <w:sz w:val="18"/>
                <w:szCs w:val="18"/>
              </w:rPr>
              <w:t>Efterlønsalderen</w:t>
            </w:r>
          </w:p>
        </w:tc>
        <w:tc>
          <w:tcPr>
            <w:tcW w:w="1852" w:type="pct"/>
            <w:shd w:val="clear" w:color="auto" w:fill="auto"/>
            <w:vAlign w:val="center"/>
            <w:hideMark/>
          </w:tcPr>
          <w:p w:rsidR="006D04C4" w:rsidRPr="00657735" w:rsidRDefault="006D04C4" w:rsidP="001D67AB">
            <w:pPr>
              <w:rPr>
                <w:rFonts w:cs="Arial"/>
                <w:color w:val="000000"/>
                <w:sz w:val="18"/>
                <w:szCs w:val="18"/>
              </w:rPr>
            </w:pPr>
            <w:r w:rsidRPr="00657735">
              <w:rPr>
                <w:rFonts w:cs="Arial"/>
                <w:color w:val="000000"/>
                <w:sz w:val="18"/>
                <w:szCs w:val="18"/>
              </w:rPr>
              <w:t>Hæves gradvist fra 60 til 62 år fra 2019 til 2022</w:t>
            </w:r>
          </w:p>
        </w:tc>
        <w:tc>
          <w:tcPr>
            <w:tcW w:w="2076" w:type="pct"/>
            <w:shd w:val="clear" w:color="auto" w:fill="auto"/>
            <w:vAlign w:val="center"/>
            <w:hideMark/>
          </w:tcPr>
          <w:p w:rsidR="006D04C4" w:rsidRPr="00657735" w:rsidRDefault="006D04C4" w:rsidP="001D67AB">
            <w:pPr>
              <w:rPr>
                <w:rFonts w:cs="Arial"/>
                <w:color w:val="000000"/>
                <w:sz w:val="18"/>
                <w:szCs w:val="18"/>
              </w:rPr>
            </w:pPr>
            <w:r w:rsidRPr="00657735">
              <w:rPr>
                <w:rFonts w:cs="Arial"/>
                <w:color w:val="000000"/>
                <w:sz w:val="18"/>
                <w:szCs w:val="18"/>
              </w:rPr>
              <w:t xml:space="preserve">Hæves gradvist fra 60 år til 64 år i perioden fra 2017-2023, således at den er 62 år i 2017, 63 år i 2020 og 64 år </w:t>
            </w:r>
            <w:r w:rsidR="00CD5480" w:rsidRPr="00657735">
              <w:rPr>
                <w:rFonts w:cs="Arial"/>
                <w:color w:val="000000"/>
                <w:sz w:val="18"/>
                <w:szCs w:val="18"/>
              </w:rPr>
              <w:t>i 202</w:t>
            </w:r>
            <w:r w:rsidRPr="00657735">
              <w:rPr>
                <w:rFonts w:cs="Arial"/>
                <w:color w:val="000000"/>
                <w:sz w:val="18"/>
                <w:szCs w:val="18"/>
              </w:rPr>
              <w:t>3</w:t>
            </w:r>
          </w:p>
        </w:tc>
      </w:tr>
      <w:tr w:rsidR="006D04C4" w:rsidRPr="00657735" w:rsidTr="001D67AB">
        <w:trPr>
          <w:trHeight w:val="1500"/>
        </w:trPr>
        <w:tc>
          <w:tcPr>
            <w:tcW w:w="1072" w:type="pct"/>
            <w:shd w:val="clear" w:color="auto" w:fill="auto"/>
            <w:noWrap/>
            <w:vAlign w:val="center"/>
            <w:hideMark/>
          </w:tcPr>
          <w:p w:rsidR="006D04C4" w:rsidRPr="00657735" w:rsidRDefault="006D04C4" w:rsidP="001D67AB">
            <w:pPr>
              <w:rPr>
                <w:rFonts w:cs="Arial"/>
                <w:b/>
                <w:bCs/>
                <w:color w:val="000000"/>
                <w:sz w:val="18"/>
                <w:szCs w:val="18"/>
              </w:rPr>
            </w:pPr>
            <w:r w:rsidRPr="00657735">
              <w:rPr>
                <w:rFonts w:cs="Arial"/>
                <w:b/>
                <w:bCs/>
                <w:color w:val="000000"/>
                <w:sz w:val="18"/>
                <w:szCs w:val="18"/>
              </w:rPr>
              <w:t>Folkepensionsalderen</w:t>
            </w:r>
          </w:p>
        </w:tc>
        <w:tc>
          <w:tcPr>
            <w:tcW w:w="1852" w:type="pct"/>
            <w:shd w:val="clear" w:color="auto" w:fill="auto"/>
            <w:vAlign w:val="center"/>
            <w:hideMark/>
          </w:tcPr>
          <w:p w:rsidR="006D04C4" w:rsidRPr="00657735" w:rsidRDefault="006D04C4" w:rsidP="001D67AB">
            <w:pPr>
              <w:rPr>
                <w:rFonts w:cs="Arial"/>
                <w:color w:val="000000"/>
                <w:sz w:val="18"/>
                <w:szCs w:val="18"/>
              </w:rPr>
            </w:pPr>
            <w:r w:rsidRPr="00657735">
              <w:rPr>
                <w:rFonts w:cs="Arial"/>
                <w:color w:val="000000"/>
                <w:sz w:val="18"/>
                <w:szCs w:val="18"/>
              </w:rPr>
              <w:t>Hæves gradvist fra 65 år til 67 år i perioden fra 2024-2027</w:t>
            </w:r>
          </w:p>
        </w:tc>
        <w:tc>
          <w:tcPr>
            <w:tcW w:w="2076" w:type="pct"/>
            <w:shd w:val="clear" w:color="auto" w:fill="auto"/>
            <w:vAlign w:val="center"/>
            <w:hideMark/>
          </w:tcPr>
          <w:p w:rsidR="006D04C4" w:rsidRPr="00657735" w:rsidRDefault="006D04C4" w:rsidP="001D67AB">
            <w:pPr>
              <w:rPr>
                <w:rFonts w:cs="Arial"/>
                <w:color w:val="000000"/>
                <w:sz w:val="18"/>
                <w:szCs w:val="18"/>
              </w:rPr>
            </w:pPr>
            <w:r w:rsidRPr="00657735">
              <w:rPr>
                <w:rFonts w:cs="Arial"/>
                <w:color w:val="000000"/>
                <w:sz w:val="18"/>
                <w:szCs w:val="18"/>
              </w:rPr>
              <w:t>Hæves gradvist fra 65 år til 67 år i perioden fra 2019-2022</w:t>
            </w:r>
          </w:p>
        </w:tc>
      </w:tr>
    </w:tbl>
    <w:p w:rsidR="006D04C4" w:rsidRPr="00CD5480" w:rsidRDefault="006D04C4" w:rsidP="006D04C4">
      <w:pPr>
        <w:pStyle w:val="Normal1"/>
        <w:rPr>
          <w:rFonts w:ascii="Arial" w:hAnsi="Arial" w:cs="Arial"/>
          <w:sz w:val="22"/>
          <w:szCs w:val="22"/>
          <w:lang w:eastAsia="en-US"/>
        </w:rPr>
      </w:pPr>
    </w:p>
    <w:p w:rsidR="006D04C4" w:rsidRPr="00CD5480" w:rsidRDefault="006D04C4" w:rsidP="006D04C4">
      <w:pPr>
        <w:pStyle w:val="Normal1"/>
        <w:rPr>
          <w:rFonts w:ascii="Arial" w:hAnsi="Arial" w:cs="Arial"/>
          <w:sz w:val="22"/>
          <w:szCs w:val="22"/>
          <w:lang w:eastAsia="en-US"/>
        </w:rPr>
      </w:pPr>
      <w:r w:rsidRPr="00CD5480">
        <w:rPr>
          <w:rFonts w:ascii="Arial" w:hAnsi="Arial" w:cs="Arial"/>
          <w:sz w:val="22"/>
          <w:szCs w:val="22"/>
          <w:lang w:eastAsia="en-US"/>
        </w:rPr>
        <w:t xml:space="preserve">I Brøndby Kommunes befolkningsprognose afgrænses gruppen ”erhvervsaktive” til 17-66 år. Selvom </w:t>
      </w:r>
      <w:r w:rsidRPr="00CD5480">
        <w:rPr>
          <w:rFonts w:ascii="Arial" w:hAnsi="Arial" w:cs="Arial"/>
          <w:i/>
          <w:sz w:val="22"/>
          <w:szCs w:val="22"/>
          <w:lang w:eastAsia="en-US"/>
        </w:rPr>
        <w:t>Tilbagetrækningsreformens</w:t>
      </w:r>
      <w:r w:rsidRPr="00CD5480">
        <w:rPr>
          <w:rFonts w:ascii="Arial" w:hAnsi="Arial" w:cs="Arial"/>
          <w:sz w:val="22"/>
          <w:szCs w:val="22"/>
          <w:lang w:eastAsia="en-US"/>
        </w:rPr>
        <w:t xml:space="preserve"> ændringer i pensions- og efterlønsalder bør tages in mente hos læseren, når resultaterne analyseres og fortolkes, så giver reformen ikke umiddelbart anledning til at ændre i aldersgrupperne. Tillige har det alle dage været således, at der i begge ender af aldersgruppen ”erhvervsaktive” (17-66-årige) har været udsving som følge af f.eks. forskelle i uddannelseslængde/-niveau og benyttelse af f.eks. efterlønsordningen samt den almene sundhedstilstand. Således vil tilknytningen til arbejdsstyrken naturligvis være størst i midten af dette aldersinterval. </w:t>
      </w:r>
    </w:p>
    <w:p w:rsidR="006D04C4" w:rsidRPr="00CD5480" w:rsidRDefault="006D04C4" w:rsidP="006D04C4">
      <w:pPr>
        <w:pStyle w:val="Normal1"/>
        <w:rPr>
          <w:rFonts w:ascii="Arial" w:hAnsi="Arial" w:cs="Arial"/>
          <w:sz w:val="22"/>
          <w:szCs w:val="22"/>
          <w:lang w:eastAsia="en-US"/>
        </w:rPr>
      </w:pPr>
    </w:p>
    <w:p w:rsidR="006D04C4" w:rsidRDefault="006D04C4" w:rsidP="00821F9D">
      <w:pPr>
        <w:pStyle w:val="Normal1"/>
        <w:rPr>
          <w:rFonts w:ascii="Arial" w:hAnsi="Arial" w:cs="Arial"/>
          <w:sz w:val="22"/>
          <w:szCs w:val="22"/>
          <w:lang w:eastAsia="en-US"/>
        </w:rPr>
      </w:pPr>
      <w:r w:rsidRPr="00CD5480">
        <w:rPr>
          <w:rFonts w:ascii="Arial" w:hAnsi="Arial" w:cs="Arial"/>
          <w:sz w:val="22"/>
          <w:szCs w:val="22"/>
          <w:lang w:eastAsia="en-US"/>
        </w:rPr>
        <w:t xml:space="preserve">Af nyere tiltag vil 2025-planen, eller som den senere er døbt til, </w:t>
      </w:r>
      <w:r w:rsidRPr="00CD5480">
        <w:rPr>
          <w:rFonts w:ascii="Arial" w:hAnsi="Arial" w:cs="Arial"/>
          <w:i/>
          <w:iCs/>
          <w:sz w:val="22"/>
          <w:szCs w:val="22"/>
          <w:lang w:eastAsia="en-US"/>
        </w:rPr>
        <w:t xml:space="preserve">Helhedsplanen – for et stærkere Danmark, </w:t>
      </w:r>
      <w:r w:rsidRPr="00CD5480">
        <w:rPr>
          <w:rFonts w:ascii="Arial" w:hAnsi="Arial" w:cs="Arial"/>
          <w:sz w:val="22"/>
          <w:szCs w:val="22"/>
          <w:lang w:eastAsia="en-US"/>
        </w:rPr>
        <w:t>også kunne spille en rolle blandt andet hvad angår en senere pensionsalder dog under hensynstage</w:t>
      </w:r>
      <w:r w:rsidR="00821F9D" w:rsidRPr="00CD5480">
        <w:rPr>
          <w:rFonts w:ascii="Arial" w:hAnsi="Arial" w:cs="Arial"/>
          <w:sz w:val="22"/>
          <w:szCs w:val="22"/>
          <w:lang w:eastAsia="en-US"/>
        </w:rPr>
        <w:t>n til velfærdsforliget fra 2006.</w:t>
      </w:r>
    </w:p>
    <w:p w:rsidR="001D3CF0" w:rsidRDefault="001D3CF0" w:rsidP="00821F9D">
      <w:pPr>
        <w:pStyle w:val="Normal1"/>
        <w:rPr>
          <w:rFonts w:ascii="Arial" w:hAnsi="Arial" w:cs="Arial"/>
          <w:sz w:val="22"/>
          <w:szCs w:val="22"/>
          <w:lang w:eastAsia="en-US"/>
        </w:rPr>
      </w:pPr>
    </w:p>
    <w:p w:rsidR="001D3CF0" w:rsidRPr="00CD5480" w:rsidRDefault="001D3CF0" w:rsidP="00821F9D">
      <w:pPr>
        <w:pStyle w:val="Normal1"/>
        <w:rPr>
          <w:rFonts w:ascii="Arial" w:hAnsi="Arial" w:cs="Arial"/>
          <w:sz w:val="22"/>
          <w:szCs w:val="22"/>
          <w:lang w:eastAsia="en-US"/>
        </w:rPr>
      </w:pPr>
    </w:p>
    <w:p w:rsidR="006D04C4" w:rsidRPr="00CD5480" w:rsidRDefault="006D04C4" w:rsidP="006D04C4">
      <w:pPr>
        <w:pStyle w:val="Normal1"/>
        <w:rPr>
          <w:rFonts w:ascii="Arial" w:hAnsi="Arial" w:cs="Arial"/>
          <w:sz w:val="22"/>
          <w:szCs w:val="22"/>
          <w:highlight w:val="yellow"/>
        </w:rPr>
      </w:pPr>
    </w:p>
    <w:p w:rsidR="006D04C4" w:rsidRPr="00636A50" w:rsidRDefault="006D04C4" w:rsidP="00821F9D">
      <w:pPr>
        <w:pStyle w:val="Overskrift1"/>
        <w:keepLines w:val="0"/>
        <w:spacing w:before="240" w:after="60"/>
      </w:pPr>
    </w:p>
    <w:p w:rsidR="006D04C4" w:rsidRPr="00D30D29" w:rsidRDefault="006D04C4" w:rsidP="006D04C4">
      <w:pPr>
        <w:rPr>
          <w:highlight w:val="yellow"/>
        </w:rPr>
      </w:pPr>
    </w:p>
    <w:p w:rsidR="006D04C4" w:rsidRPr="00D30D29" w:rsidRDefault="006D04C4" w:rsidP="006D04C4">
      <w:pPr>
        <w:rPr>
          <w:highlight w:val="yellow"/>
        </w:rPr>
      </w:pPr>
    </w:p>
    <w:p w:rsidR="00821F9D" w:rsidRDefault="006D04C4" w:rsidP="006D04C4">
      <w:pPr>
        <w:pStyle w:val="Overskrift1"/>
        <w:keepLines w:val="0"/>
        <w:numPr>
          <w:ilvl w:val="0"/>
          <w:numId w:val="5"/>
        </w:numPr>
        <w:tabs>
          <w:tab w:val="num" w:pos="574"/>
        </w:tabs>
        <w:spacing w:before="240" w:after="60"/>
        <w:ind w:hanging="574"/>
        <w:jc w:val="both"/>
      </w:pPr>
      <w:r w:rsidRPr="00D30D29">
        <w:rPr>
          <w:highlight w:val="yellow"/>
        </w:rPr>
        <w:br w:type="page"/>
      </w:r>
      <w:bookmarkStart w:id="10" w:name="_Toc6400695"/>
      <w:bookmarkStart w:id="11" w:name="_Toc38361227"/>
      <w:r w:rsidRPr="00291C9B">
        <w:lastRenderedPageBreak/>
        <w:t>Prognosemodellen</w:t>
      </w:r>
      <w:bookmarkEnd w:id="10"/>
      <w:bookmarkEnd w:id="11"/>
    </w:p>
    <w:p w:rsidR="00821F9D" w:rsidRPr="00D81727" w:rsidRDefault="00821F9D" w:rsidP="00821F9D">
      <w:pPr>
        <w:pStyle w:val="Overskrift2"/>
        <w:keepLines w:val="0"/>
        <w:numPr>
          <w:ilvl w:val="1"/>
          <w:numId w:val="5"/>
        </w:numPr>
        <w:spacing w:before="240" w:after="60"/>
        <w:jc w:val="both"/>
        <w:rPr>
          <w:rFonts w:ascii="Arial" w:hAnsi="Arial" w:cs="Arial"/>
        </w:rPr>
      </w:pPr>
      <w:bookmarkStart w:id="12" w:name="_Toc6400696"/>
      <w:bookmarkStart w:id="13" w:name="_Toc38361228"/>
      <w:r w:rsidRPr="00D81727">
        <w:rPr>
          <w:rFonts w:ascii="Arial" w:hAnsi="Arial" w:cs="Arial"/>
        </w:rPr>
        <w:t>Indledning</w:t>
      </w:r>
      <w:bookmarkEnd w:id="12"/>
      <w:bookmarkEnd w:id="13"/>
    </w:p>
    <w:p w:rsidR="006D04C4" w:rsidRPr="00D81727" w:rsidRDefault="006D04C4" w:rsidP="006D04C4">
      <w:pPr>
        <w:pStyle w:val="Normal1"/>
        <w:rPr>
          <w:rFonts w:ascii="Arial" w:hAnsi="Arial" w:cs="Arial"/>
          <w:sz w:val="22"/>
          <w:szCs w:val="22"/>
          <w:lang w:eastAsia="en-US"/>
        </w:rPr>
      </w:pPr>
      <w:r w:rsidRPr="00D81727">
        <w:rPr>
          <w:rFonts w:ascii="Arial" w:hAnsi="Arial" w:cs="Arial"/>
          <w:sz w:val="22"/>
          <w:szCs w:val="22"/>
          <w:lang w:eastAsia="en-US"/>
        </w:rPr>
        <w:t>I dette kapitel forklares prognosemodellen DemoGrafix, som prognosen er beregnet med. DemoGrafix leveres af firmaet COWI.</w:t>
      </w:r>
    </w:p>
    <w:p w:rsidR="00821F9D" w:rsidRPr="00D81727" w:rsidRDefault="00821F9D" w:rsidP="006D04C4">
      <w:pPr>
        <w:pStyle w:val="Normal1"/>
        <w:rPr>
          <w:rFonts w:ascii="Arial" w:hAnsi="Arial" w:cs="Arial"/>
          <w:sz w:val="22"/>
          <w:szCs w:val="22"/>
          <w:lang w:eastAsia="en-US"/>
        </w:rPr>
      </w:pPr>
    </w:p>
    <w:p w:rsidR="00821F9D" w:rsidRPr="00D81727" w:rsidRDefault="00821F9D" w:rsidP="00821F9D">
      <w:pPr>
        <w:pStyle w:val="Normal1"/>
        <w:rPr>
          <w:rFonts w:ascii="Arial" w:hAnsi="Arial" w:cs="Arial"/>
          <w:sz w:val="22"/>
          <w:szCs w:val="22"/>
        </w:rPr>
      </w:pPr>
      <w:r w:rsidRPr="00D81727">
        <w:rPr>
          <w:rFonts w:ascii="Arial" w:hAnsi="Arial" w:cs="Arial"/>
          <w:sz w:val="22"/>
          <w:szCs w:val="22"/>
        </w:rPr>
        <w:t xml:space="preserve">Brøndby Kommune har, som tidligere nævnt, siden 2013 anvendt befolkningsprognosemodellen fra COWI som hedder </w:t>
      </w:r>
      <w:r w:rsidRPr="00D81727">
        <w:rPr>
          <w:rFonts w:ascii="Arial" w:hAnsi="Arial" w:cs="Arial"/>
          <w:i/>
          <w:sz w:val="22"/>
          <w:szCs w:val="22"/>
        </w:rPr>
        <w:t>DemoGrafix</w:t>
      </w:r>
      <w:r w:rsidRPr="00D81727">
        <w:rPr>
          <w:rFonts w:ascii="Arial" w:hAnsi="Arial" w:cs="Arial"/>
          <w:sz w:val="22"/>
          <w:szCs w:val="22"/>
        </w:rPr>
        <w:t xml:space="preserve">. </w:t>
      </w:r>
    </w:p>
    <w:p w:rsidR="00821F9D" w:rsidRPr="00D81727" w:rsidRDefault="00821F9D" w:rsidP="00821F9D">
      <w:pPr>
        <w:pStyle w:val="Normal1"/>
        <w:rPr>
          <w:rFonts w:ascii="Arial" w:hAnsi="Arial" w:cs="Arial"/>
          <w:sz w:val="22"/>
          <w:szCs w:val="22"/>
        </w:rPr>
      </w:pPr>
    </w:p>
    <w:p w:rsidR="00821F9D" w:rsidRPr="00D81727" w:rsidRDefault="00821F9D" w:rsidP="00821F9D">
      <w:pPr>
        <w:pStyle w:val="Normal1"/>
        <w:rPr>
          <w:rFonts w:ascii="Arial" w:hAnsi="Arial" w:cs="Arial"/>
          <w:sz w:val="22"/>
          <w:szCs w:val="22"/>
        </w:rPr>
      </w:pPr>
      <w:r w:rsidRPr="00D81727">
        <w:rPr>
          <w:rFonts w:ascii="Arial" w:hAnsi="Arial" w:cs="Arial"/>
          <w:sz w:val="22"/>
          <w:szCs w:val="22"/>
        </w:rPr>
        <w:t>DemoGrafix indeholder nogle analytiske muligheder i forhold til f.eks. grafiske illustrationer og sammenligning af forskellige scenarier. DemoGrafix indeholder i lighed med andre prognosemodeller en række standardparametre som eksempelvis:</w:t>
      </w:r>
    </w:p>
    <w:p w:rsidR="00821F9D" w:rsidRPr="00D81727" w:rsidRDefault="00821F9D" w:rsidP="00821F9D">
      <w:pPr>
        <w:pStyle w:val="Normal1"/>
        <w:rPr>
          <w:rFonts w:ascii="Arial" w:hAnsi="Arial" w:cs="Arial"/>
          <w:sz w:val="22"/>
          <w:szCs w:val="22"/>
        </w:rPr>
      </w:pPr>
    </w:p>
    <w:p w:rsidR="00821F9D" w:rsidRPr="00D81727" w:rsidRDefault="00821F9D" w:rsidP="00821F9D">
      <w:pPr>
        <w:pStyle w:val="Normal1"/>
        <w:numPr>
          <w:ilvl w:val="0"/>
          <w:numId w:val="39"/>
        </w:numPr>
        <w:rPr>
          <w:rFonts w:ascii="Arial" w:hAnsi="Arial" w:cs="Arial"/>
          <w:sz w:val="22"/>
          <w:szCs w:val="22"/>
        </w:rPr>
      </w:pPr>
      <w:r w:rsidRPr="00D81727">
        <w:rPr>
          <w:rFonts w:ascii="Arial" w:hAnsi="Arial" w:cs="Arial"/>
          <w:sz w:val="22"/>
          <w:szCs w:val="22"/>
        </w:rPr>
        <w:t>Flytninger</w:t>
      </w:r>
    </w:p>
    <w:p w:rsidR="00821F9D" w:rsidRPr="00D81727" w:rsidRDefault="00821F9D" w:rsidP="00821F9D">
      <w:pPr>
        <w:pStyle w:val="Normal1"/>
        <w:numPr>
          <w:ilvl w:val="0"/>
          <w:numId w:val="39"/>
        </w:numPr>
        <w:rPr>
          <w:rFonts w:ascii="Arial" w:hAnsi="Arial" w:cs="Arial"/>
          <w:sz w:val="22"/>
          <w:szCs w:val="22"/>
        </w:rPr>
      </w:pPr>
      <w:r w:rsidRPr="00D81727">
        <w:rPr>
          <w:rFonts w:ascii="Arial" w:hAnsi="Arial" w:cs="Arial"/>
          <w:sz w:val="22"/>
          <w:szCs w:val="22"/>
        </w:rPr>
        <w:t>Fertilitet</w:t>
      </w:r>
    </w:p>
    <w:p w:rsidR="00821F9D" w:rsidRPr="00D81727" w:rsidRDefault="00821F9D" w:rsidP="00821F9D">
      <w:pPr>
        <w:pStyle w:val="Normal1"/>
        <w:numPr>
          <w:ilvl w:val="0"/>
          <w:numId w:val="39"/>
        </w:numPr>
        <w:rPr>
          <w:rFonts w:ascii="Arial" w:hAnsi="Arial" w:cs="Arial"/>
          <w:sz w:val="22"/>
          <w:szCs w:val="22"/>
        </w:rPr>
      </w:pPr>
      <w:r w:rsidRPr="00D81727">
        <w:rPr>
          <w:rFonts w:ascii="Arial" w:hAnsi="Arial" w:cs="Arial"/>
          <w:sz w:val="22"/>
          <w:szCs w:val="22"/>
        </w:rPr>
        <w:t>Mortalitet</w:t>
      </w:r>
    </w:p>
    <w:p w:rsidR="00821F9D" w:rsidRPr="00D81727" w:rsidRDefault="00821F9D" w:rsidP="00821F9D">
      <w:pPr>
        <w:pStyle w:val="Normal1"/>
        <w:numPr>
          <w:ilvl w:val="0"/>
          <w:numId w:val="39"/>
        </w:numPr>
        <w:rPr>
          <w:rFonts w:ascii="Arial" w:hAnsi="Arial" w:cs="Arial"/>
          <w:sz w:val="22"/>
          <w:szCs w:val="22"/>
        </w:rPr>
      </w:pPr>
      <w:r w:rsidRPr="00D81727">
        <w:rPr>
          <w:rFonts w:ascii="Arial" w:hAnsi="Arial" w:cs="Arial"/>
          <w:sz w:val="22"/>
          <w:szCs w:val="22"/>
        </w:rPr>
        <w:t>Parameterområder</w:t>
      </w:r>
    </w:p>
    <w:p w:rsidR="00821F9D" w:rsidRPr="00D81727" w:rsidRDefault="00821F9D" w:rsidP="00821F9D">
      <w:pPr>
        <w:pStyle w:val="Normal1"/>
        <w:numPr>
          <w:ilvl w:val="0"/>
          <w:numId w:val="39"/>
        </w:numPr>
        <w:rPr>
          <w:rFonts w:ascii="Arial" w:hAnsi="Arial" w:cs="Arial"/>
          <w:sz w:val="22"/>
          <w:szCs w:val="22"/>
        </w:rPr>
      </w:pPr>
      <w:r w:rsidRPr="00D81727">
        <w:rPr>
          <w:rFonts w:ascii="Arial" w:hAnsi="Arial" w:cs="Arial"/>
          <w:sz w:val="22"/>
          <w:szCs w:val="22"/>
        </w:rPr>
        <w:t>Udtynding (forblivelsesrater)</w:t>
      </w:r>
    </w:p>
    <w:p w:rsidR="00821F9D" w:rsidRPr="00D81727" w:rsidRDefault="00821F9D" w:rsidP="00821F9D">
      <w:pPr>
        <w:pStyle w:val="Normal1"/>
        <w:numPr>
          <w:ilvl w:val="0"/>
          <w:numId w:val="39"/>
        </w:numPr>
        <w:rPr>
          <w:rFonts w:ascii="Arial" w:hAnsi="Arial" w:cs="Arial"/>
          <w:sz w:val="22"/>
          <w:szCs w:val="22"/>
        </w:rPr>
      </w:pPr>
      <w:r w:rsidRPr="00D81727">
        <w:rPr>
          <w:rFonts w:ascii="Arial" w:hAnsi="Arial" w:cs="Arial"/>
          <w:sz w:val="22"/>
          <w:szCs w:val="22"/>
        </w:rPr>
        <w:t>Boligbyggeprogram (boligbaseret prognose)</w:t>
      </w:r>
    </w:p>
    <w:p w:rsidR="00821F9D" w:rsidRPr="00D81727" w:rsidRDefault="00821F9D" w:rsidP="00821F9D">
      <w:pPr>
        <w:pStyle w:val="Normal1"/>
        <w:rPr>
          <w:rFonts w:ascii="Arial" w:hAnsi="Arial" w:cs="Arial"/>
          <w:sz w:val="22"/>
          <w:szCs w:val="22"/>
          <w:highlight w:val="yellow"/>
        </w:rPr>
      </w:pPr>
    </w:p>
    <w:p w:rsidR="00821F9D" w:rsidRPr="00D81727" w:rsidRDefault="00821F9D" w:rsidP="00821F9D">
      <w:pPr>
        <w:pStyle w:val="Normal1"/>
        <w:rPr>
          <w:rFonts w:ascii="Arial" w:hAnsi="Arial" w:cs="Arial"/>
          <w:sz w:val="22"/>
          <w:szCs w:val="22"/>
        </w:rPr>
      </w:pPr>
      <w:r w:rsidRPr="00D81727">
        <w:rPr>
          <w:rFonts w:ascii="Arial" w:hAnsi="Arial" w:cs="Arial"/>
          <w:sz w:val="22"/>
          <w:szCs w:val="22"/>
        </w:rPr>
        <w:t>Langt størstedelen af de anvendte data bliver leveret fra COWI efter valgte parametre foretaget i samarbejde med Brøndby Kommune.</w:t>
      </w:r>
    </w:p>
    <w:p w:rsidR="00821F9D" w:rsidRPr="00D81727" w:rsidRDefault="00821F9D" w:rsidP="00821F9D">
      <w:pPr>
        <w:pStyle w:val="Overskrift2"/>
        <w:keepLines w:val="0"/>
        <w:numPr>
          <w:ilvl w:val="1"/>
          <w:numId w:val="5"/>
        </w:numPr>
        <w:spacing w:before="240" w:after="60"/>
        <w:jc w:val="both"/>
        <w:rPr>
          <w:rFonts w:ascii="Arial" w:hAnsi="Arial" w:cs="Arial"/>
        </w:rPr>
      </w:pPr>
      <w:bookmarkStart w:id="14" w:name="_Toc6400697"/>
      <w:bookmarkStart w:id="15" w:name="_Toc38361229"/>
      <w:r w:rsidRPr="00D81727">
        <w:rPr>
          <w:rFonts w:ascii="Arial" w:hAnsi="Arial" w:cs="Arial"/>
        </w:rPr>
        <w:t>Hovedforudsætninger</w:t>
      </w:r>
      <w:bookmarkEnd w:id="14"/>
      <w:bookmarkEnd w:id="15"/>
    </w:p>
    <w:p w:rsidR="00821F9D" w:rsidRPr="00D81727" w:rsidRDefault="00821F9D" w:rsidP="00821F9D">
      <w:pPr>
        <w:pStyle w:val="Normal1"/>
        <w:rPr>
          <w:rFonts w:ascii="Arial" w:hAnsi="Arial" w:cs="Arial"/>
          <w:sz w:val="22"/>
          <w:szCs w:val="22"/>
        </w:rPr>
      </w:pPr>
      <w:r w:rsidRPr="00D81727">
        <w:rPr>
          <w:rFonts w:ascii="Arial" w:hAnsi="Arial" w:cs="Arial"/>
          <w:sz w:val="22"/>
          <w:szCs w:val="22"/>
        </w:rPr>
        <w:t>De overordnede forudsætninger, som ligger til g</w:t>
      </w:r>
      <w:r w:rsidR="002237A1">
        <w:rPr>
          <w:rFonts w:ascii="Arial" w:hAnsi="Arial" w:cs="Arial"/>
          <w:sz w:val="22"/>
          <w:szCs w:val="22"/>
        </w:rPr>
        <w:t>rund for prognosen for årene 2020-2030</w:t>
      </w:r>
      <w:r w:rsidRPr="00D81727">
        <w:rPr>
          <w:rFonts w:ascii="Arial" w:hAnsi="Arial" w:cs="Arial"/>
          <w:sz w:val="22"/>
          <w:szCs w:val="22"/>
        </w:rPr>
        <w:t>, er følgende:</w:t>
      </w:r>
    </w:p>
    <w:p w:rsidR="00821F9D" w:rsidRPr="00D81727" w:rsidRDefault="00821F9D" w:rsidP="00821F9D">
      <w:pPr>
        <w:pStyle w:val="Normal1"/>
        <w:rPr>
          <w:rFonts w:ascii="Arial" w:hAnsi="Arial" w:cs="Arial"/>
          <w:sz w:val="22"/>
          <w:szCs w:val="22"/>
        </w:rPr>
      </w:pPr>
    </w:p>
    <w:p w:rsidR="00821F9D" w:rsidRPr="00D81727" w:rsidRDefault="00821F9D" w:rsidP="00821F9D">
      <w:pPr>
        <w:pStyle w:val="Normal1"/>
        <w:numPr>
          <w:ilvl w:val="0"/>
          <w:numId w:val="42"/>
        </w:numPr>
        <w:rPr>
          <w:rFonts w:ascii="Arial" w:hAnsi="Arial" w:cs="Arial"/>
          <w:sz w:val="22"/>
          <w:szCs w:val="22"/>
        </w:rPr>
      </w:pPr>
      <w:r w:rsidRPr="00D81727">
        <w:rPr>
          <w:rFonts w:ascii="Arial" w:hAnsi="Arial" w:cs="Arial"/>
          <w:sz w:val="22"/>
          <w:szCs w:val="22"/>
        </w:rPr>
        <w:t xml:space="preserve">Brøndby Kommune er i prognosesammenhæng inddelt i 136 </w:t>
      </w:r>
      <w:r w:rsidRPr="00D81727">
        <w:rPr>
          <w:rFonts w:ascii="Arial" w:hAnsi="Arial" w:cs="Arial"/>
          <w:b/>
          <w:sz w:val="22"/>
          <w:szCs w:val="22"/>
        </w:rPr>
        <w:t>basisområder</w:t>
      </w:r>
      <w:r w:rsidRPr="00D81727">
        <w:rPr>
          <w:rFonts w:ascii="Arial" w:hAnsi="Arial" w:cs="Arial"/>
          <w:sz w:val="22"/>
          <w:szCs w:val="22"/>
        </w:rPr>
        <w:t>, der kombineret danner kommunens 3 bydele, 3 skoledistrikter, 3 særområder og 4 sogne (der er lighed mellem bydelene og skoledistrikterne).</w:t>
      </w:r>
    </w:p>
    <w:p w:rsidR="00821F9D" w:rsidRPr="00D81727" w:rsidRDefault="00821F9D" w:rsidP="00821F9D">
      <w:pPr>
        <w:pStyle w:val="Normal1"/>
        <w:ind w:left="720"/>
        <w:rPr>
          <w:rFonts w:ascii="Arial" w:hAnsi="Arial" w:cs="Arial"/>
          <w:sz w:val="22"/>
          <w:szCs w:val="22"/>
          <w:highlight w:val="yellow"/>
        </w:rPr>
      </w:pPr>
    </w:p>
    <w:p w:rsidR="00821F9D" w:rsidRPr="00D81727" w:rsidRDefault="00821F9D" w:rsidP="00821F9D">
      <w:pPr>
        <w:pStyle w:val="Normal1"/>
        <w:numPr>
          <w:ilvl w:val="0"/>
          <w:numId w:val="42"/>
        </w:numPr>
        <w:rPr>
          <w:rFonts w:ascii="Arial" w:hAnsi="Arial" w:cs="Arial"/>
          <w:sz w:val="22"/>
          <w:szCs w:val="22"/>
        </w:rPr>
      </w:pPr>
      <w:r w:rsidRPr="00D81727">
        <w:rPr>
          <w:rFonts w:ascii="Arial" w:hAnsi="Arial" w:cs="Arial"/>
          <w:sz w:val="22"/>
          <w:szCs w:val="22"/>
        </w:rPr>
        <w:t xml:space="preserve">Fra Det Centrale Personregister (CPR) er indhentet </w:t>
      </w:r>
      <w:r w:rsidRPr="00D81727">
        <w:rPr>
          <w:rFonts w:ascii="Arial" w:hAnsi="Arial" w:cs="Arial"/>
          <w:b/>
          <w:sz w:val="22"/>
          <w:szCs w:val="22"/>
        </w:rPr>
        <w:t>befolkningsdata</w:t>
      </w:r>
      <w:r w:rsidR="002237A1">
        <w:rPr>
          <w:rFonts w:ascii="Arial" w:hAnsi="Arial" w:cs="Arial"/>
          <w:sz w:val="22"/>
          <w:szCs w:val="22"/>
        </w:rPr>
        <w:t xml:space="preserve"> for perioden 2001</w:t>
      </w:r>
      <w:r w:rsidRPr="00D81727">
        <w:rPr>
          <w:rFonts w:ascii="Arial" w:hAnsi="Arial" w:cs="Arial"/>
          <w:sz w:val="22"/>
          <w:szCs w:val="22"/>
        </w:rPr>
        <w:t>-201</w:t>
      </w:r>
      <w:r w:rsidR="002237A1">
        <w:rPr>
          <w:rFonts w:ascii="Arial" w:hAnsi="Arial" w:cs="Arial"/>
          <w:sz w:val="22"/>
          <w:szCs w:val="22"/>
        </w:rPr>
        <w:t>9.</w:t>
      </w:r>
      <w:r w:rsidRPr="00D81727">
        <w:rPr>
          <w:rFonts w:ascii="Arial" w:hAnsi="Arial" w:cs="Arial"/>
          <w:sz w:val="22"/>
          <w:szCs w:val="22"/>
        </w:rPr>
        <w:t xml:space="preserve"> Udover folketal fordelt på køn og alder indeholder datasættet oplysninger om antal fødsler, dødsfald samt til- og fraflytninger for alle basisområder i Brøndby Kommune. Prognosen tager således afsæt i befolkningsudviklingen i Brøndby Kommune i de sidste ti år.</w:t>
      </w:r>
    </w:p>
    <w:p w:rsidR="00821F9D" w:rsidRPr="00D81727" w:rsidRDefault="00821F9D" w:rsidP="00821F9D">
      <w:pPr>
        <w:pStyle w:val="Listeafsnit"/>
        <w:rPr>
          <w:rFonts w:ascii="Arial" w:hAnsi="Arial" w:cs="Arial"/>
          <w:sz w:val="22"/>
          <w:szCs w:val="22"/>
          <w:highlight w:val="yellow"/>
        </w:rPr>
      </w:pPr>
    </w:p>
    <w:p w:rsidR="00821F9D" w:rsidRPr="00D81727" w:rsidRDefault="00821F9D" w:rsidP="00821F9D">
      <w:pPr>
        <w:pStyle w:val="Normal1"/>
        <w:numPr>
          <w:ilvl w:val="0"/>
          <w:numId w:val="42"/>
        </w:numPr>
        <w:rPr>
          <w:rFonts w:ascii="Arial" w:hAnsi="Arial" w:cs="Arial"/>
          <w:sz w:val="22"/>
          <w:szCs w:val="22"/>
        </w:rPr>
      </w:pPr>
      <w:r w:rsidRPr="00D81727">
        <w:rPr>
          <w:rFonts w:ascii="Arial" w:hAnsi="Arial" w:cs="Arial"/>
          <w:sz w:val="22"/>
          <w:szCs w:val="22"/>
        </w:rPr>
        <w:t xml:space="preserve">For at minimere usikkerheder er basisområderne samlet i </w:t>
      </w:r>
      <w:r w:rsidRPr="00D81727">
        <w:rPr>
          <w:rFonts w:ascii="Arial" w:hAnsi="Arial" w:cs="Arial"/>
          <w:b/>
          <w:sz w:val="22"/>
          <w:szCs w:val="22"/>
        </w:rPr>
        <w:t xml:space="preserve">parameterområder </w:t>
      </w:r>
      <w:r w:rsidRPr="00D81727">
        <w:rPr>
          <w:rFonts w:ascii="Arial" w:hAnsi="Arial" w:cs="Arial"/>
          <w:sz w:val="22"/>
          <w:szCs w:val="22"/>
        </w:rPr>
        <w:t>for henholdsvis flyttemønstre og fertilitet. Det vil sige, at områder, der minder om hinanden med hensyn til flyttemønster og fertilitet, er beregnet som samlede statistiske enheder.</w:t>
      </w:r>
    </w:p>
    <w:p w:rsidR="00821F9D" w:rsidRPr="00D81727" w:rsidRDefault="00821F9D" w:rsidP="00821F9D">
      <w:pPr>
        <w:pStyle w:val="Listeafsnit"/>
        <w:rPr>
          <w:rFonts w:ascii="Arial" w:hAnsi="Arial" w:cs="Arial"/>
          <w:sz w:val="22"/>
          <w:szCs w:val="22"/>
          <w:highlight w:val="yellow"/>
        </w:rPr>
      </w:pPr>
    </w:p>
    <w:p w:rsidR="00821F9D" w:rsidRPr="00D81727" w:rsidRDefault="00821F9D" w:rsidP="00821F9D">
      <w:pPr>
        <w:pStyle w:val="Normal1"/>
        <w:numPr>
          <w:ilvl w:val="0"/>
          <w:numId w:val="42"/>
        </w:numPr>
        <w:rPr>
          <w:rFonts w:ascii="Arial" w:hAnsi="Arial" w:cs="Arial"/>
          <w:sz w:val="22"/>
          <w:szCs w:val="22"/>
        </w:rPr>
      </w:pPr>
      <w:r w:rsidRPr="00D81727">
        <w:rPr>
          <w:rFonts w:ascii="Arial" w:hAnsi="Arial" w:cs="Arial"/>
          <w:sz w:val="22"/>
          <w:szCs w:val="22"/>
        </w:rPr>
        <w:t xml:space="preserve">Til beregning af antal </w:t>
      </w:r>
      <w:r w:rsidRPr="00D81727">
        <w:rPr>
          <w:rFonts w:ascii="Arial" w:hAnsi="Arial" w:cs="Arial"/>
          <w:b/>
          <w:sz w:val="22"/>
          <w:szCs w:val="22"/>
        </w:rPr>
        <w:t>dødsfald</w:t>
      </w:r>
      <w:r w:rsidRPr="00D81727">
        <w:rPr>
          <w:rFonts w:ascii="Arial" w:hAnsi="Arial" w:cs="Arial"/>
          <w:sz w:val="22"/>
          <w:szCs w:val="22"/>
        </w:rPr>
        <w:t xml:space="preserve"> er anvendt landsdækkende aldersbetingede dødshyppigheder for både mænd og kvinder. Tallene er korrigeret for den lokale levealder, ligesom der regnes med en stigende levealder over prognoseperioden i henhold til DREAM-modellens forudsætninger. </w:t>
      </w:r>
      <w:r w:rsidR="00057A8B">
        <w:rPr>
          <w:rFonts w:ascii="Arial" w:hAnsi="Arial" w:cs="Arial"/>
          <w:sz w:val="22"/>
          <w:szCs w:val="22"/>
        </w:rPr>
        <w:t>Datagrundlaget er det samme som ved fødsler, hvilket vil sige 2013-2019.</w:t>
      </w:r>
    </w:p>
    <w:p w:rsidR="00821F9D" w:rsidRPr="00D81727" w:rsidRDefault="00821F9D" w:rsidP="00821F9D">
      <w:pPr>
        <w:pStyle w:val="Listeafsnit"/>
        <w:rPr>
          <w:rFonts w:ascii="Arial" w:hAnsi="Arial" w:cs="Arial"/>
          <w:sz w:val="22"/>
          <w:szCs w:val="22"/>
          <w:highlight w:val="yellow"/>
        </w:rPr>
      </w:pPr>
    </w:p>
    <w:p w:rsidR="00821F9D" w:rsidRPr="00D81727" w:rsidRDefault="00821F9D" w:rsidP="00821F9D">
      <w:pPr>
        <w:pStyle w:val="Normal1"/>
        <w:numPr>
          <w:ilvl w:val="0"/>
          <w:numId w:val="42"/>
        </w:numPr>
        <w:rPr>
          <w:rFonts w:ascii="Arial" w:hAnsi="Arial" w:cs="Arial"/>
          <w:sz w:val="22"/>
          <w:szCs w:val="22"/>
        </w:rPr>
      </w:pPr>
      <w:r w:rsidRPr="00D81727">
        <w:rPr>
          <w:rFonts w:ascii="Arial" w:hAnsi="Arial" w:cs="Arial"/>
          <w:sz w:val="22"/>
          <w:szCs w:val="22"/>
        </w:rPr>
        <w:t xml:space="preserve">Til beregning af antal </w:t>
      </w:r>
      <w:r w:rsidRPr="00D81727">
        <w:rPr>
          <w:rFonts w:ascii="Arial" w:hAnsi="Arial" w:cs="Arial"/>
          <w:b/>
          <w:sz w:val="22"/>
          <w:szCs w:val="22"/>
        </w:rPr>
        <w:t xml:space="preserve">fødsler </w:t>
      </w:r>
      <w:r w:rsidRPr="00D81727">
        <w:rPr>
          <w:rFonts w:ascii="Arial" w:hAnsi="Arial" w:cs="Arial"/>
          <w:sz w:val="22"/>
          <w:szCs w:val="22"/>
        </w:rPr>
        <w:t>er anvendt kommunale aldersbetingede fødselshyppigheder for kvinder i alderen 15-49 år. For hvert parameterområde er der ud fra lokale historisk</w:t>
      </w:r>
      <w:r w:rsidR="00057A8B">
        <w:rPr>
          <w:rFonts w:ascii="Arial" w:hAnsi="Arial" w:cs="Arial"/>
          <w:sz w:val="22"/>
          <w:szCs w:val="22"/>
        </w:rPr>
        <w:t>e fødselstal for årene 2013-2019</w:t>
      </w:r>
      <w:r w:rsidRPr="00D81727">
        <w:rPr>
          <w:rFonts w:ascii="Arial" w:hAnsi="Arial" w:cs="Arial"/>
          <w:sz w:val="22"/>
          <w:szCs w:val="22"/>
        </w:rPr>
        <w:t xml:space="preserve"> beregnet, hvilket fertilitetsniveau der kan for</w:t>
      </w:r>
      <w:r w:rsidR="004D55B5">
        <w:rPr>
          <w:rFonts w:ascii="Arial" w:hAnsi="Arial" w:cs="Arial"/>
          <w:sz w:val="22"/>
          <w:szCs w:val="22"/>
        </w:rPr>
        <w:t>ventes fremover. Årene 2013-201</w:t>
      </w:r>
      <w:r w:rsidR="00057A8B">
        <w:rPr>
          <w:rFonts w:ascii="Arial" w:hAnsi="Arial" w:cs="Arial"/>
          <w:sz w:val="22"/>
          <w:szCs w:val="22"/>
        </w:rPr>
        <w:t>9</w:t>
      </w:r>
      <w:r w:rsidRPr="00D81727">
        <w:rPr>
          <w:rFonts w:ascii="Arial" w:hAnsi="Arial" w:cs="Arial"/>
          <w:sz w:val="22"/>
          <w:szCs w:val="22"/>
        </w:rPr>
        <w:t xml:space="preserve"> betragtes – i forhold til fertilitet – som forholdsvis normale år. </w:t>
      </w:r>
    </w:p>
    <w:p w:rsidR="00821F9D" w:rsidRPr="00D81727" w:rsidRDefault="00821F9D" w:rsidP="00821F9D">
      <w:pPr>
        <w:pStyle w:val="Normal1"/>
        <w:rPr>
          <w:rFonts w:ascii="Arial" w:hAnsi="Arial" w:cs="Arial"/>
          <w:sz w:val="22"/>
          <w:szCs w:val="22"/>
          <w:highlight w:val="yellow"/>
        </w:rPr>
      </w:pPr>
    </w:p>
    <w:p w:rsidR="00821F9D" w:rsidRPr="00D81727" w:rsidRDefault="00821F9D" w:rsidP="006D04C4">
      <w:pPr>
        <w:pStyle w:val="Normal1"/>
        <w:numPr>
          <w:ilvl w:val="0"/>
          <w:numId w:val="42"/>
        </w:numPr>
        <w:rPr>
          <w:rFonts w:ascii="Arial" w:hAnsi="Arial" w:cs="Arial"/>
          <w:sz w:val="22"/>
          <w:szCs w:val="22"/>
        </w:rPr>
      </w:pPr>
      <w:r w:rsidRPr="00D81727">
        <w:rPr>
          <w:rFonts w:ascii="Arial" w:hAnsi="Arial" w:cs="Arial"/>
          <w:sz w:val="22"/>
          <w:szCs w:val="22"/>
        </w:rPr>
        <w:t xml:space="preserve">Endelig er der i prognosemodellen indlagt data for det realiserede </w:t>
      </w:r>
      <w:r w:rsidRPr="00D81727">
        <w:rPr>
          <w:rFonts w:ascii="Arial" w:hAnsi="Arial" w:cs="Arial"/>
          <w:b/>
          <w:sz w:val="22"/>
          <w:szCs w:val="22"/>
        </w:rPr>
        <w:t>boligbyggeri</w:t>
      </w:r>
      <w:r w:rsidR="000E7B4E">
        <w:rPr>
          <w:rFonts w:ascii="Arial" w:hAnsi="Arial" w:cs="Arial"/>
          <w:sz w:val="22"/>
          <w:szCs w:val="22"/>
        </w:rPr>
        <w:t xml:space="preserve"> i perioden 2006-2019</w:t>
      </w:r>
      <w:r w:rsidRPr="00D81727">
        <w:rPr>
          <w:rFonts w:ascii="Arial" w:hAnsi="Arial" w:cs="Arial"/>
          <w:sz w:val="22"/>
          <w:szCs w:val="22"/>
        </w:rPr>
        <w:t xml:space="preserve">, ligesom det forventede boligbyggeri i perioden </w:t>
      </w:r>
      <w:r w:rsidR="000E7B4E">
        <w:rPr>
          <w:rFonts w:ascii="Arial" w:hAnsi="Arial" w:cs="Arial"/>
          <w:sz w:val="22"/>
          <w:szCs w:val="22"/>
        </w:rPr>
        <w:t>202</w:t>
      </w:r>
      <w:r w:rsidR="00057A8B">
        <w:rPr>
          <w:rFonts w:ascii="Arial" w:hAnsi="Arial" w:cs="Arial"/>
          <w:sz w:val="22"/>
          <w:szCs w:val="22"/>
        </w:rPr>
        <w:t>0-2030</w:t>
      </w:r>
      <w:r w:rsidRPr="00D81727">
        <w:rPr>
          <w:rFonts w:ascii="Arial" w:hAnsi="Arial" w:cs="Arial"/>
          <w:sz w:val="22"/>
          <w:szCs w:val="22"/>
        </w:rPr>
        <w:t xml:space="preserve"> er indregnet.</w:t>
      </w:r>
    </w:p>
    <w:p w:rsidR="006D04C4" w:rsidRPr="00D81727" w:rsidRDefault="006D04C4" w:rsidP="006D04C4">
      <w:pPr>
        <w:pStyle w:val="Overskrift2"/>
        <w:keepLines w:val="0"/>
        <w:numPr>
          <w:ilvl w:val="1"/>
          <w:numId w:val="5"/>
        </w:numPr>
        <w:spacing w:before="240" w:after="60"/>
        <w:jc w:val="both"/>
        <w:rPr>
          <w:rFonts w:ascii="Arial" w:hAnsi="Arial" w:cs="Arial"/>
        </w:rPr>
      </w:pPr>
      <w:bookmarkStart w:id="16" w:name="_Toc6400698"/>
      <w:bookmarkStart w:id="17" w:name="_Toc38361230"/>
      <w:r w:rsidRPr="00D81727">
        <w:rPr>
          <w:rFonts w:ascii="Arial" w:hAnsi="Arial" w:cs="Arial"/>
        </w:rPr>
        <w:t>Forklaring af modellens beregningsprincip/beregningsmetode</w:t>
      </w:r>
      <w:bookmarkEnd w:id="16"/>
      <w:bookmarkEnd w:id="17"/>
    </w:p>
    <w:p w:rsidR="006D04C4" w:rsidRPr="00D81727" w:rsidRDefault="006D04C4" w:rsidP="006D04C4">
      <w:pPr>
        <w:pStyle w:val="Normal1"/>
        <w:rPr>
          <w:rFonts w:ascii="Arial" w:hAnsi="Arial" w:cs="Arial"/>
          <w:sz w:val="22"/>
          <w:szCs w:val="22"/>
        </w:rPr>
      </w:pPr>
      <w:r w:rsidRPr="00D81727">
        <w:rPr>
          <w:rFonts w:ascii="Arial" w:hAnsi="Arial" w:cs="Arial"/>
          <w:sz w:val="22"/>
          <w:szCs w:val="22"/>
        </w:rPr>
        <w:t>Ændringer i folketallet er afhængige af en række demografiske komponenter, herunder balancen mellem fødsler og dødsfald (”fødselsoverskud”) samt balancen mellem tilflytninger og fraflytninger inkl. ind- og udvandringer (”flyttebalancen”).</w:t>
      </w:r>
    </w:p>
    <w:p w:rsidR="006D04C4" w:rsidRPr="00D81727" w:rsidRDefault="006D04C4" w:rsidP="006D04C4">
      <w:pPr>
        <w:pStyle w:val="Normal1"/>
        <w:rPr>
          <w:rFonts w:ascii="Arial" w:hAnsi="Arial" w:cs="Arial"/>
          <w:sz w:val="22"/>
          <w:szCs w:val="22"/>
        </w:rPr>
      </w:pPr>
    </w:p>
    <w:p w:rsidR="006D04C4" w:rsidRPr="00D81727" w:rsidRDefault="006D04C4" w:rsidP="006D04C4">
      <w:pPr>
        <w:pStyle w:val="Normal1"/>
        <w:rPr>
          <w:rFonts w:ascii="Arial" w:hAnsi="Arial" w:cs="Arial"/>
          <w:sz w:val="22"/>
          <w:szCs w:val="22"/>
        </w:rPr>
      </w:pPr>
      <w:r w:rsidRPr="00D81727">
        <w:rPr>
          <w:rFonts w:ascii="Arial" w:hAnsi="Arial" w:cs="Arial"/>
          <w:sz w:val="22"/>
          <w:szCs w:val="22"/>
        </w:rPr>
        <w:t>Samspillet mellem befolkningens størrelse og de demografiske komponenter kan sammenfattes i ”befolkningsbalanceligningen”:</w:t>
      </w:r>
    </w:p>
    <w:p w:rsidR="006D04C4" w:rsidRPr="00D81727" w:rsidRDefault="006D04C4" w:rsidP="006D04C4">
      <w:pPr>
        <w:pStyle w:val="Normal1"/>
        <w:rPr>
          <w:rFonts w:ascii="Arial" w:hAnsi="Arial" w:cs="Arial"/>
          <w:sz w:val="22"/>
          <w:szCs w:val="22"/>
        </w:rPr>
      </w:pPr>
    </w:p>
    <w:p w:rsidR="006D04C4" w:rsidRPr="00D81727" w:rsidRDefault="006D04C4" w:rsidP="006D04C4">
      <w:pPr>
        <w:pStyle w:val="Normal1"/>
        <w:rPr>
          <w:rFonts w:ascii="Arial" w:hAnsi="Arial" w:cs="Arial"/>
          <w:sz w:val="22"/>
          <w:szCs w:val="22"/>
        </w:rPr>
      </w:pPr>
      <w:r w:rsidRPr="00D81727">
        <w:rPr>
          <w:rFonts w:ascii="Arial" w:hAnsi="Arial" w:cs="Arial"/>
          <w:sz w:val="22"/>
          <w:szCs w:val="22"/>
        </w:rPr>
        <w:t>P</w:t>
      </w:r>
      <w:r w:rsidRPr="00D81727">
        <w:rPr>
          <w:rFonts w:ascii="Arial" w:hAnsi="Arial" w:cs="Arial"/>
          <w:sz w:val="22"/>
          <w:szCs w:val="22"/>
          <w:vertAlign w:val="subscript"/>
        </w:rPr>
        <w:t xml:space="preserve">t </w:t>
      </w:r>
      <w:r w:rsidRPr="00D81727">
        <w:rPr>
          <w:rFonts w:ascii="Arial" w:hAnsi="Arial" w:cs="Arial"/>
          <w:sz w:val="22"/>
          <w:szCs w:val="22"/>
        </w:rPr>
        <w:t>= P</w:t>
      </w:r>
      <w:r w:rsidRPr="00D81727">
        <w:rPr>
          <w:rFonts w:ascii="Arial" w:hAnsi="Arial" w:cs="Arial"/>
          <w:sz w:val="22"/>
          <w:szCs w:val="22"/>
          <w:vertAlign w:val="subscript"/>
        </w:rPr>
        <w:t xml:space="preserve">0 </w:t>
      </w:r>
      <w:r w:rsidRPr="00D81727">
        <w:rPr>
          <w:rFonts w:ascii="Arial" w:hAnsi="Arial" w:cs="Arial"/>
          <w:sz w:val="22"/>
          <w:szCs w:val="22"/>
        </w:rPr>
        <w:t>+ (F - D) + (T</w:t>
      </w:r>
      <w:r w:rsidRPr="00D81727">
        <w:rPr>
          <w:rFonts w:ascii="Arial" w:hAnsi="Arial" w:cs="Arial"/>
          <w:sz w:val="22"/>
          <w:szCs w:val="22"/>
          <w:vertAlign w:val="subscript"/>
        </w:rPr>
        <w:t xml:space="preserve">f </w:t>
      </w:r>
      <w:r w:rsidRPr="00D81727">
        <w:rPr>
          <w:rFonts w:ascii="Arial" w:hAnsi="Arial" w:cs="Arial"/>
          <w:sz w:val="22"/>
          <w:szCs w:val="22"/>
        </w:rPr>
        <w:t>– F</w:t>
      </w:r>
      <w:r w:rsidRPr="00D81727">
        <w:rPr>
          <w:rFonts w:ascii="Arial" w:hAnsi="Arial" w:cs="Arial"/>
          <w:sz w:val="22"/>
          <w:szCs w:val="22"/>
          <w:vertAlign w:val="subscript"/>
        </w:rPr>
        <w:t>f</w:t>
      </w:r>
      <w:r w:rsidRPr="00D81727">
        <w:rPr>
          <w:rFonts w:ascii="Arial" w:hAnsi="Arial" w:cs="Arial"/>
          <w:sz w:val="22"/>
          <w:szCs w:val="22"/>
        </w:rPr>
        <w:t>)</w:t>
      </w:r>
    </w:p>
    <w:p w:rsidR="006D04C4" w:rsidRPr="00D81727" w:rsidRDefault="006D04C4" w:rsidP="006D04C4">
      <w:pPr>
        <w:pStyle w:val="Normal1"/>
        <w:rPr>
          <w:rFonts w:ascii="Arial" w:hAnsi="Arial" w:cs="Arial"/>
          <w:sz w:val="22"/>
          <w:szCs w:val="22"/>
        </w:rPr>
      </w:pPr>
    </w:p>
    <w:p w:rsidR="006D04C4" w:rsidRPr="00D81727" w:rsidRDefault="006D04C4" w:rsidP="006D04C4">
      <w:pPr>
        <w:pStyle w:val="Normal1"/>
        <w:rPr>
          <w:rFonts w:ascii="Arial" w:hAnsi="Arial" w:cs="Arial"/>
          <w:sz w:val="22"/>
          <w:szCs w:val="22"/>
        </w:rPr>
      </w:pPr>
      <w:r w:rsidRPr="00D81727">
        <w:rPr>
          <w:rFonts w:ascii="Arial" w:hAnsi="Arial" w:cs="Arial"/>
          <w:sz w:val="22"/>
          <w:szCs w:val="22"/>
        </w:rPr>
        <w:t>hvor:</w:t>
      </w:r>
    </w:p>
    <w:p w:rsidR="006D04C4" w:rsidRPr="00D81727" w:rsidRDefault="006D04C4" w:rsidP="006D04C4">
      <w:pPr>
        <w:pStyle w:val="Normal1"/>
        <w:rPr>
          <w:rFonts w:ascii="Arial" w:hAnsi="Arial" w:cs="Arial"/>
          <w:sz w:val="22"/>
          <w:szCs w:val="22"/>
        </w:rPr>
      </w:pPr>
    </w:p>
    <w:p w:rsidR="006D04C4" w:rsidRPr="00D81727" w:rsidRDefault="006D04C4" w:rsidP="006D04C4">
      <w:pPr>
        <w:pStyle w:val="Normal1"/>
        <w:numPr>
          <w:ilvl w:val="0"/>
          <w:numId w:val="44"/>
        </w:numPr>
        <w:rPr>
          <w:rFonts w:ascii="Arial" w:hAnsi="Arial" w:cs="Arial"/>
          <w:sz w:val="22"/>
          <w:szCs w:val="22"/>
        </w:rPr>
      </w:pPr>
      <w:r w:rsidRPr="00D81727">
        <w:rPr>
          <w:rFonts w:ascii="Arial" w:hAnsi="Arial" w:cs="Arial"/>
          <w:sz w:val="22"/>
          <w:szCs w:val="22"/>
        </w:rPr>
        <w:t>P</w:t>
      </w:r>
      <w:r w:rsidRPr="00D81727">
        <w:rPr>
          <w:rFonts w:ascii="Arial" w:hAnsi="Arial" w:cs="Arial"/>
          <w:sz w:val="22"/>
          <w:szCs w:val="22"/>
          <w:vertAlign w:val="subscript"/>
        </w:rPr>
        <w:t>0</w:t>
      </w:r>
      <w:r w:rsidRPr="00D81727">
        <w:rPr>
          <w:rFonts w:ascii="Arial" w:hAnsi="Arial" w:cs="Arial"/>
          <w:sz w:val="22"/>
          <w:szCs w:val="22"/>
        </w:rPr>
        <w:t xml:space="preserve"> er antal personer i et delområde på et givent tidspunkt (t</w:t>
      </w:r>
      <w:r w:rsidRPr="00D81727">
        <w:rPr>
          <w:rFonts w:ascii="Arial" w:hAnsi="Arial" w:cs="Arial"/>
          <w:sz w:val="22"/>
          <w:szCs w:val="22"/>
          <w:vertAlign w:val="subscript"/>
        </w:rPr>
        <w:t>0</w:t>
      </w:r>
      <w:r w:rsidRPr="00D81727">
        <w:rPr>
          <w:rFonts w:ascii="Arial" w:hAnsi="Arial" w:cs="Arial"/>
          <w:sz w:val="22"/>
          <w:szCs w:val="22"/>
        </w:rPr>
        <w:t>)</w:t>
      </w:r>
    </w:p>
    <w:p w:rsidR="006D04C4" w:rsidRPr="00D81727" w:rsidRDefault="006D04C4" w:rsidP="006D04C4">
      <w:pPr>
        <w:pStyle w:val="Normal1"/>
        <w:numPr>
          <w:ilvl w:val="0"/>
          <w:numId w:val="44"/>
        </w:numPr>
        <w:rPr>
          <w:rFonts w:ascii="Arial" w:hAnsi="Arial" w:cs="Arial"/>
          <w:sz w:val="22"/>
          <w:szCs w:val="22"/>
        </w:rPr>
      </w:pPr>
      <w:r w:rsidRPr="00D81727">
        <w:rPr>
          <w:rFonts w:ascii="Arial" w:hAnsi="Arial" w:cs="Arial"/>
          <w:sz w:val="22"/>
          <w:szCs w:val="22"/>
        </w:rPr>
        <w:t>P</w:t>
      </w:r>
      <w:r w:rsidRPr="00D81727">
        <w:rPr>
          <w:rFonts w:ascii="Arial" w:hAnsi="Arial" w:cs="Arial"/>
          <w:sz w:val="22"/>
          <w:szCs w:val="22"/>
          <w:vertAlign w:val="subscript"/>
        </w:rPr>
        <w:t>t</w:t>
      </w:r>
      <w:r w:rsidRPr="00D81727">
        <w:rPr>
          <w:rFonts w:ascii="Arial" w:hAnsi="Arial" w:cs="Arial"/>
          <w:sz w:val="22"/>
          <w:szCs w:val="22"/>
        </w:rPr>
        <w:t xml:space="preserve"> er antal personer i et delområde på senere tidspunkt (t)</w:t>
      </w:r>
    </w:p>
    <w:p w:rsidR="006D04C4" w:rsidRPr="00D81727" w:rsidRDefault="006D04C4" w:rsidP="006D04C4">
      <w:pPr>
        <w:pStyle w:val="Normal1"/>
        <w:numPr>
          <w:ilvl w:val="0"/>
          <w:numId w:val="44"/>
        </w:numPr>
        <w:rPr>
          <w:rFonts w:ascii="Arial" w:hAnsi="Arial" w:cs="Arial"/>
          <w:sz w:val="22"/>
          <w:szCs w:val="22"/>
        </w:rPr>
      </w:pPr>
      <w:r w:rsidRPr="00D81727">
        <w:rPr>
          <w:rFonts w:ascii="Arial" w:hAnsi="Arial" w:cs="Arial"/>
          <w:sz w:val="22"/>
          <w:szCs w:val="22"/>
        </w:rPr>
        <w:t>F er antal fødsl</w:t>
      </w:r>
      <w:r w:rsidR="001C0331">
        <w:rPr>
          <w:rFonts w:ascii="Arial" w:hAnsi="Arial" w:cs="Arial"/>
          <w:sz w:val="22"/>
          <w:szCs w:val="22"/>
        </w:rPr>
        <w:t>er i et del</w:t>
      </w:r>
      <w:r w:rsidRPr="00D81727">
        <w:rPr>
          <w:rFonts w:ascii="Arial" w:hAnsi="Arial" w:cs="Arial"/>
          <w:sz w:val="22"/>
          <w:szCs w:val="22"/>
        </w:rPr>
        <w:t>område i perioden (t – t</w:t>
      </w:r>
      <w:r w:rsidRPr="00D81727">
        <w:rPr>
          <w:rFonts w:ascii="Arial" w:hAnsi="Arial" w:cs="Arial"/>
          <w:sz w:val="22"/>
          <w:szCs w:val="22"/>
          <w:vertAlign w:val="subscript"/>
        </w:rPr>
        <w:t>0</w:t>
      </w:r>
      <w:r w:rsidRPr="00D81727">
        <w:rPr>
          <w:rFonts w:ascii="Arial" w:hAnsi="Arial" w:cs="Arial"/>
          <w:sz w:val="22"/>
          <w:szCs w:val="22"/>
        </w:rPr>
        <w:t>)</w:t>
      </w:r>
    </w:p>
    <w:p w:rsidR="006D04C4" w:rsidRPr="00D81727" w:rsidRDefault="006D04C4" w:rsidP="006D04C4">
      <w:pPr>
        <w:pStyle w:val="Normal1"/>
        <w:numPr>
          <w:ilvl w:val="0"/>
          <w:numId w:val="44"/>
        </w:numPr>
        <w:rPr>
          <w:rFonts w:ascii="Arial" w:hAnsi="Arial" w:cs="Arial"/>
          <w:sz w:val="22"/>
          <w:szCs w:val="22"/>
        </w:rPr>
      </w:pPr>
      <w:r w:rsidRPr="00D81727">
        <w:rPr>
          <w:rFonts w:ascii="Arial" w:hAnsi="Arial" w:cs="Arial"/>
          <w:sz w:val="22"/>
          <w:szCs w:val="22"/>
        </w:rPr>
        <w:t>D er antal døde i et delområde i perioden (t – t</w:t>
      </w:r>
      <w:r w:rsidRPr="00D81727">
        <w:rPr>
          <w:rFonts w:ascii="Arial" w:hAnsi="Arial" w:cs="Arial"/>
          <w:sz w:val="22"/>
          <w:szCs w:val="22"/>
          <w:vertAlign w:val="subscript"/>
        </w:rPr>
        <w:t>0</w:t>
      </w:r>
      <w:r w:rsidRPr="00D81727">
        <w:rPr>
          <w:rFonts w:ascii="Arial" w:hAnsi="Arial" w:cs="Arial"/>
          <w:sz w:val="22"/>
          <w:szCs w:val="22"/>
        </w:rPr>
        <w:t>)</w:t>
      </w:r>
    </w:p>
    <w:p w:rsidR="006D04C4" w:rsidRPr="00D81727" w:rsidRDefault="006D04C4" w:rsidP="006D04C4">
      <w:pPr>
        <w:pStyle w:val="Normal1"/>
        <w:numPr>
          <w:ilvl w:val="0"/>
          <w:numId w:val="44"/>
        </w:numPr>
        <w:rPr>
          <w:rFonts w:ascii="Arial" w:hAnsi="Arial" w:cs="Arial"/>
          <w:sz w:val="22"/>
          <w:szCs w:val="22"/>
        </w:rPr>
      </w:pPr>
      <w:r w:rsidRPr="00D81727">
        <w:rPr>
          <w:rFonts w:ascii="Arial" w:hAnsi="Arial" w:cs="Arial"/>
          <w:sz w:val="22"/>
          <w:szCs w:val="22"/>
        </w:rPr>
        <w:t>T</w:t>
      </w:r>
      <w:r w:rsidRPr="00D81727">
        <w:rPr>
          <w:rFonts w:ascii="Arial" w:hAnsi="Arial" w:cs="Arial"/>
          <w:sz w:val="22"/>
          <w:szCs w:val="22"/>
          <w:vertAlign w:val="subscript"/>
        </w:rPr>
        <w:t>f</w:t>
      </w:r>
      <w:r w:rsidRPr="00D81727">
        <w:rPr>
          <w:rFonts w:ascii="Arial" w:hAnsi="Arial" w:cs="Arial"/>
          <w:sz w:val="22"/>
          <w:szCs w:val="22"/>
        </w:rPr>
        <w:t xml:space="preserve"> er antal tilflyttere til et delområde i perioden</w:t>
      </w:r>
    </w:p>
    <w:p w:rsidR="006D04C4" w:rsidRPr="00D81727" w:rsidRDefault="006D04C4" w:rsidP="006D04C4">
      <w:pPr>
        <w:pStyle w:val="Normal1"/>
        <w:numPr>
          <w:ilvl w:val="0"/>
          <w:numId w:val="44"/>
        </w:numPr>
        <w:rPr>
          <w:rFonts w:ascii="Arial" w:hAnsi="Arial" w:cs="Arial"/>
          <w:sz w:val="22"/>
          <w:szCs w:val="22"/>
        </w:rPr>
      </w:pPr>
      <w:r w:rsidRPr="00D81727">
        <w:rPr>
          <w:rFonts w:ascii="Arial" w:hAnsi="Arial" w:cs="Arial"/>
          <w:sz w:val="22"/>
          <w:szCs w:val="22"/>
        </w:rPr>
        <w:t>F</w:t>
      </w:r>
      <w:r w:rsidRPr="00D81727">
        <w:rPr>
          <w:rFonts w:ascii="Arial" w:hAnsi="Arial" w:cs="Arial"/>
          <w:sz w:val="22"/>
          <w:szCs w:val="22"/>
          <w:vertAlign w:val="subscript"/>
        </w:rPr>
        <w:t>f</w:t>
      </w:r>
      <w:r w:rsidRPr="00D81727">
        <w:rPr>
          <w:rFonts w:ascii="Arial" w:hAnsi="Arial" w:cs="Arial"/>
          <w:sz w:val="22"/>
          <w:szCs w:val="22"/>
        </w:rPr>
        <w:t xml:space="preserve"> er antal fraflyttere til et delområde i perioden</w:t>
      </w:r>
    </w:p>
    <w:p w:rsidR="006D04C4" w:rsidRPr="00D81727" w:rsidRDefault="006D04C4" w:rsidP="006D04C4">
      <w:pPr>
        <w:pStyle w:val="Normal1"/>
        <w:rPr>
          <w:rFonts w:ascii="Arial" w:hAnsi="Arial" w:cs="Arial"/>
          <w:sz w:val="22"/>
          <w:szCs w:val="22"/>
        </w:rPr>
      </w:pPr>
    </w:p>
    <w:p w:rsidR="006D04C4" w:rsidRPr="00D81727" w:rsidRDefault="006D04C4" w:rsidP="006D04C4">
      <w:pPr>
        <w:pStyle w:val="Normal1"/>
        <w:rPr>
          <w:rFonts w:ascii="Arial" w:hAnsi="Arial" w:cs="Arial"/>
          <w:sz w:val="22"/>
          <w:szCs w:val="22"/>
        </w:rPr>
      </w:pPr>
      <w:r w:rsidRPr="00D81727">
        <w:rPr>
          <w:rFonts w:ascii="Arial" w:hAnsi="Arial" w:cs="Arial"/>
          <w:sz w:val="22"/>
          <w:szCs w:val="22"/>
        </w:rPr>
        <w:t>I DemoGrafix prognosemodellen beregnes ovenstående ligning for befolkningen i hvert delområde fordelt på køn og alder (1-års intervaller).</w:t>
      </w:r>
    </w:p>
    <w:p w:rsidR="006D04C4" w:rsidRPr="00D81727" w:rsidRDefault="006D04C4" w:rsidP="006D04C4">
      <w:pPr>
        <w:pStyle w:val="Normal1"/>
        <w:rPr>
          <w:rFonts w:ascii="Arial" w:hAnsi="Arial" w:cs="Arial"/>
          <w:sz w:val="22"/>
          <w:szCs w:val="22"/>
          <w:highlight w:val="yellow"/>
        </w:rPr>
      </w:pPr>
    </w:p>
    <w:p w:rsidR="006D04C4" w:rsidRPr="00D81727" w:rsidRDefault="006D04C4" w:rsidP="006D04C4">
      <w:pPr>
        <w:pStyle w:val="Normal1"/>
        <w:rPr>
          <w:rFonts w:ascii="Arial" w:hAnsi="Arial" w:cs="Arial"/>
          <w:sz w:val="22"/>
          <w:szCs w:val="22"/>
        </w:rPr>
      </w:pPr>
      <w:r w:rsidRPr="00D81727">
        <w:rPr>
          <w:rFonts w:ascii="Arial" w:hAnsi="Arial" w:cs="Arial"/>
          <w:sz w:val="22"/>
          <w:szCs w:val="22"/>
        </w:rPr>
        <w:t>Antal tilflyttere (T</w:t>
      </w:r>
      <w:r w:rsidRPr="00D81727">
        <w:rPr>
          <w:rFonts w:ascii="Arial" w:hAnsi="Arial" w:cs="Arial"/>
          <w:sz w:val="22"/>
          <w:szCs w:val="22"/>
          <w:vertAlign w:val="subscript"/>
        </w:rPr>
        <w:t>f</w:t>
      </w:r>
      <w:r w:rsidRPr="00D81727">
        <w:rPr>
          <w:rFonts w:ascii="Arial" w:hAnsi="Arial" w:cs="Arial"/>
          <w:sz w:val="22"/>
          <w:szCs w:val="22"/>
        </w:rPr>
        <w:t>) består dels af antal tilflyttere (T</w:t>
      </w:r>
      <w:r w:rsidRPr="00D81727">
        <w:rPr>
          <w:rFonts w:ascii="Arial" w:hAnsi="Arial" w:cs="Arial"/>
          <w:sz w:val="22"/>
          <w:szCs w:val="22"/>
          <w:vertAlign w:val="subscript"/>
        </w:rPr>
        <w:t>f,bevar</w:t>
      </w:r>
      <w:r w:rsidRPr="00D81727">
        <w:rPr>
          <w:rFonts w:ascii="Arial" w:hAnsi="Arial" w:cs="Arial"/>
          <w:sz w:val="22"/>
          <w:szCs w:val="22"/>
        </w:rPr>
        <w:t>) til den eksisterende boligmasse og dels af antal tilflyttere (T</w:t>
      </w:r>
      <w:r w:rsidRPr="00D81727">
        <w:rPr>
          <w:rFonts w:ascii="Arial" w:hAnsi="Arial" w:cs="Arial"/>
          <w:sz w:val="22"/>
          <w:szCs w:val="22"/>
          <w:vertAlign w:val="subscript"/>
        </w:rPr>
        <w:t>f,ny</w:t>
      </w:r>
      <w:r w:rsidRPr="00D81727">
        <w:rPr>
          <w:rFonts w:ascii="Arial" w:hAnsi="Arial" w:cs="Arial"/>
          <w:sz w:val="22"/>
          <w:szCs w:val="22"/>
        </w:rPr>
        <w:t>) til nye boliger i prognoseåret. På lignende måde opdeles antal flytninger (F</w:t>
      </w:r>
      <w:r w:rsidRPr="00D81727">
        <w:rPr>
          <w:rFonts w:ascii="Arial" w:hAnsi="Arial" w:cs="Arial"/>
          <w:sz w:val="22"/>
          <w:szCs w:val="22"/>
          <w:vertAlign w:val="subscript"/>
        </w:rPr>
        <w:t>f</w:t>
      </w:r>
      <w:r w:rsidRPr="00D81727">
        <w:rPr>
          <w:rFonts w:ascii="Arial" w:hAnsi="Arial" w:cs="Arial"/>
          <w:sz w:val="22"/>
          <w:szCs w:val="22"/>
        </w:rPr>
        <w:t>) i antal fraflyttere (F</w:t>
      </w:r>
      <w:r w:rsidRPr="00D81727">
        <w:rPr>
          <w:rFonts w:ascii="Arial" w:hAnsi="Arial" w:cs="Arial"/>
          <w:sz w:val="22"/>
          <w:szCs w:val="22"/>
          <w:vertAlign w:val="subscript"/>
        </w:rPr>
        <w:t>f,bevar</w:t>
      </w:r>
      <w:r w:rsidRPr="00D81727">
        <w:rPr>
          <w:rFonts w:ascii="Arial" w:hAnsi="Arial" w:cs="Arial"/>
          <w:sz w:val="22"/>
          <w:szCs w:val="22"/>
        </w:rPr>
        <w:t>) fra den bevarede boligmasse samt antal fraflyttere (F</w:t>
      </w:r>
      <w:r w:rsidRPr="00D81727">
        <w:rPr>
          <w:rFonts w:ascii="Arial" w:hAnsi="Arial" w:cs="Arial"/>
          <w:sz w:val="22"/>
          <w:szCs w:val="22"/>
          <w:vertAlign w:val="subscript"/>
        </w:rPr>
        <w:t>f,ned</w:t>
      </w:r>
      <w:r w:rsidRPr="00D81727">
        <w:rPr>
          <w:rFonts w:ascii="Arial" w:hAnsi="Arial" w:cs="Arial"/>
          <w:sz w:val="22"/>
          <w:szCs w:val="22"/>
        </w:rPr>
        <w:t>) fra nedlagte boliger.</w:t>
      </w:r>
    </w:p>
    <w:p w:rsidR="006D04C4" w:rsidRPr="00D81727" w:rsidRDefault="006D04C4" w:rsidP="006D04C4">
      <w:pPr>
        <w:pStyle w:val="Overskrift2"/>
        <w:keepLines w:val="0"/>
        <w:numPr>
          <w:ilvl w:val="1"/>
          <w:numId w:val="5"/>
        </w:numPr>
        <w:spacing w:before="240" w:after="60"/>
        <w:jc w:val="both"/>
        <w:rPr>
          <w:rFonts w:ascii="Arial" w:hAnsi="Arial" w:cs="Arial"/>
        </w:rPr>
      </w:pPr>
      <w:bookmarkStart w:id="18" w:name="_Toc6400699"/>
      <w:bookmarkStart w:id="19" w:name="_Toc38361231"/>
      <w:r w:rsidRPr="00D81727">
        <w:rPr>
          <w:rFonts w:ascii="Arial" w:hAnsi="Arial" w:cs="Arial"/>
        </w:rPr>
        <w:t>Forudsætninger</w:t>
      </w:r>
      <w:bookmarkEnd w:id="18"/>
      <w:bookmarkEnd w:id="19"/>
    </w:p>
    <w:p w:rsidR="006D04C4" w:rsidRPr="000E7B4E" w:rsidRDefault="006D04C4" w:rsidP="006D04C4">
      <w:pPr>
        <w:pStyle w:val="Normal1"/>
        <w:rPr>
          <w:rFonts w:ascii="Arial" w:hAnsi="Arial" w:cs="Arial"/>
          <w:sz w:val="22"/>
          <w:szCs w:val="22"/>
        </w:rPr>
      </w:pPr>
      <w:r w:rsidRPr="000E7B4E">
        <w:rPr>
          <w:rFonts w:ascii="Arial" w:hAnsi="Arial" w:cs="Arial"/>
          <w:sz w:val="22"/>
          <w:szCs w:val="22"/>
        </w:rPr>
        <w:t xml:space="preserve">Input til beregningen af befolkningsbalanceligningen kommer fra en række forudsætninger og datagrundlag, </w:t>
      </w:r>
      <w:r w:rsidR="00D81727" w:rsidRPr="000E7B4E">
        <w:rPr>
          <w:rFonts w:ascii="Arial" w:hAnsi="Arial" w:cs="Arial"/>
          <w:sz w:val="22"/>
          <w:szCs w:val="22"/>
        </w:rPr>
        <w:t>som kort beskrevet i afsnit 2.2.</w:t>
      </w:r>
    </w:p>
    <w:p w:rsidR="006D04C4" w:rsidRPr="00291C9B" w:rsidRDefault="006D04C4" w:rsidP="006D04C4">
      <w:pPr>
        <w:pStyle w:val="Overskrift3"/>
        <w:numPr>
          <w:ilvl w:val="2"/>
          <w:numId w:val="5"/>
        </w:numPr>
        <w:tabs>
          <w:tab w:val="clear" w:pos="720"/>
        </w:tabs>
      </w:pPr>
      <w:bookmarkStart w:id="20" w:name="_Toc6400700"/>
      <w:bookmarkStart w:id="21" w:name="_Toc38361232"/>
      <w:r w:rsidRPr="00291C9B">
        <w:t>Vægtninger</w:t>
      </w:r>
      <w:bookmarkEnd w:id="20"/>
      <w:bookmarkEnd w:id="21"/>
    </w:p>
    <w:p w:rsidR="006D04C4" w:rsidRPr="00291C9B" w:rsidRDefault="006D04C4" w:rsidP="006D04C4">
      <w:r w:rsidRPr="00291C9B">
        <w:t>For at opfange såvel øjeblikkelige tendenser som den længerevarende ”normale” situation, er der på baggrund af en vurdering af historiske data mv. foretaget en vægtning af de historiske år i beregningen af prognoseårene.</w:t>
      </w:r>
    </w:p>
    <w:p w:rsidR="006D04C4" w:rsidRPr="00291C9B" w:rsidRDefault="006D04C4" w:rsidP="006D04C4"/>
    <w:p w:rsidR="006D04C4" w:rsidRDefault="001E013A" w:rsidP="006D04C4">
      <w:r>
        <w:t>Af tabel 2</w:t>
      </w:r>
      <w:r w:rsidR="006D04C4" w:rsidRPr="00291C9B">
        <w:t xml:space="preserve"> nedenfor fremgår vægtningen af de historiske år i beregningen af prognoseårene for de tre væsentlige parametre flytninger, fødsler og dødsfald.</w:t>
      </w:r>
    </w:p>
    <w:p w:rsidR="001E013A" w:rsidRDefault="001E013A" w:rsidP="006D04C4"/>
    <w:p w:rsidR="004D55B5" w:rsidRPr="001E013A" w:rsidRDefault="001E013A" w:rsidP="006D04C4">
      <w:pPr>
        <w:rPr>
          <w:sz w:val="18"/>
          <w:szCs w:val="18"/>
        </w:rPr>
      </w:pPr>
      <w:r w:rsidRPr="001E013A">
        <w:rPr>
          <w:b/>
          <w:sz w:val="18"/>
          <w:szCs w:val="18"/>
        </w:rPr>
        <w:t>Tabel 2</w:t>
      </w:r>
      <w:r w:rsidRPr="001E013A">
        <w:rPr>
          <w:sz w:val="18"/>
          <w:szCs w:val="18"/>
        </w:rPr>
        <w:t>. Vægtning af historiske år for beregning af diverse parametre i prognoseårene</w:t>
      </w:r>
    </w:p>
    <w:tbl>
      <w:tblPr>
        <w:tblW w:w="5000" w:type="pct"/>
        <w:tblCellMar>
          <w:left w:w="70" w:type="dxa"/>
          <w:right w:w="70" w:type="dxa"/>
        </w:tblCellMar>
        <w:tblLook w:val="04A0" w:firstRow="1" w:lastRow="0" w:firstColumn="1" w:lastColumn="0" w:noHBand="0" w:noVBand="1"/>
      </w:tblPr>
      <w:tblGrid>
        <w:gridCol w:w="2409"/>
        <w:gridCol w:w="2410"/>
        <w:gridCol w:w="2410"/>
        <w:gridCol w:w="2410"/>
      </w:tblGrid>
      <w:tr w:rsidR="004D55B5" w:rsidRPr="00057A8B" w:rsidTr="00057A8B">
        <w:trPr>
          <w:trHeight w:val="300"/>
        </w:trPr>
        <w:tc>
          <w:tcPr>
            <w:tcW w:w="1250" w:type="pct"/>
            <w:tcBorders>
              <w:top w:val="single" w:sz="4" w:space="0" w:color="auto"/>
              <w:left w:val="nil"/>
              <w:bottom w:val="single" w:sz="4" w:space="0" w:color="auto"/>
              <w:right w:val="nil"/>
            </w:tcBorders>
            <w:shd w:val="clear" w:color="auto" w:fill="auto"/>
            <w:noWrap/>
            <w:vAlign w:val="center"/>
            <w:hideMark/>
          </w:tcPr>
          <w:p w:rsidR="004D55B5" w:rsidRPr="006806EF" w:rsidRDefault="004D55B5" w:rsidP="004D55B5">
            <w:pPr>
              <w:rPr>
                <w:rFonts w:asciiTheme="minorHAnsi" w:hAnsiTheme="minorHAnsi"/>
                <w:color w:val="000000"/>
                <w:sz w:val="18"/>
                <w:szCs w:val="18"/>
              </w:rPr>
            </w:pPr>
            <w:r w:rsidRPr="006806EF">
              <w:rPr>
                <w:rFonts w:asciiTheme="minorHAnsi" w:hAnsiTheme="minorHAnsi"/>
                <w:color w:val="000000"/>
                <w:sz w:val="18"/>
                <w:szCs w:val="18"/>
              </w:rPr>
              <w:t> </w:t>
            </w:r>
          </w:p>
        </w:tc>
        <w:tc>
          <w:tcPr>
            <w:tcW w:w="1250" w:type="pct"/>
            <w:tcBorders>
              <w:top w:val="single" w:sz="4" w:space="0" w:color="auto"/>
              <w:left w:val="single" w:sz="4" w:space="0" w:color="auto"/>
              <w:bottom w:val="single" w:sz="4" w:space="0" w:color="auto"/>
              <w:right w:val="nil"/>
            </w:tcBorders>
            <w:shd w:val="clear" w:color="auto" w:fill="auto"/>
            <w:noWrap/>
            <w:vAlign w:val="center"/>
            <w:hideMark/>
          </w:tcPr>
          <w:p w:rsidR="004D55B5" w:rsidRPr="00057A8B" w:rsidRDefault="00057A8B" w:rsidP="004D55B5">
            <w:pPr>
              <w:jc w:val="center"/>
              <w:rPr>
                <w:rFonts w:asciiTheme="minorHAnsi" w:hAnsiTheme="minorHAnsi"/>
                <w:b/>
                <w:bCs/>
                <w:color w:val="000000"/>
                <w:sz w:val="18"/>
                <w:szCs w:val="18"/>
              </w:rPr>
            </w:pPr>
            <w:r w:rsidRPr="00057A8B">
              <w:rPr>
                <w:rFonts w:asciiTheme="minorHAnsi" w:hAnsiTheme="minorHAnsi"/>
                <w:b/>
                <w:bCs/>
                <w:color w:val="000000"/>
                <w:sz w:val="18"/>
                <w:szCs w:val="18"/>
              </w:rPr>
              <w:t>2019</w:t>
            </w:r>
          </w:p>
        </w:tc>
        <w:tc>
          <w:tcPr>
            <w:tcW w:w="1250" w:type="pct"/>
            <w:tcBorders>
              <w:top w:val="single" w:sz="4" w:space="0" w:color="auto"/>
              <w:left w:val="nil"/>
              <w:bottom w:val="single" w:sz="4" w:space="0" w:color="auto"/>
              <w:right w:val="nil"/>
            </w:tcBorders>
            <w:shd w:val="clear" w:color="auto" w:fill="auto"/>
            <w:noWrap/>
            <w:vAlign w:val="center"/>
            <w:hideMark/>
          </w:tcPr>
          <w:p w:rsidR="004D55B5" w:rsidRPr="00057A8B" w:rsidRDefault="00057A8B" w:rsidP="004D55B5">
            <w:pPr>
              <w:jc w:val="center"/>
              <w:rPr>
                <w:rFonts w:asciiTheme="minorHAnsi" w:hAnsiTheme="minorHAnsi"/>
                <w:b/>
                <w:bCs/>
                <w:color w:val="000000"/>
                <w:sz w:val="18"/>
                <w:szCs w:val="18"/>
              </w:rPr>
            </w:pPr>
            <w:r w:rsidRPr="00057A8B">
              <w:rPr>
                <w:rFonts w:asciiTheme="minorHAnsi" w:hAnsiTheme="minorHAnsi"/>
                <w:b/>
                <w:bCs/>
                <w:color w:val="000000"/>
                <w:sz w:val="18"/>
                <w:szCs w:val="18"/>
              </w:rPr>
              <w:t>2020</w:t>
            </w:r>
          </w:p>
        </w:tc>
        <w:tc>
          <w:tcPr>
            <w:tcW w:w="1250" w:type="pct"/>
            <w:tcBorders>
              <w:top w:val="single" w:sz="4" w:space="0" w:color="auto"/>
              <w:left w:val="nil"/>
              <w:bottom w:val="single" w:sz="4" w:space="0" w:color="auto"/>
              <w:right w:val="nil"/>
            </w:tcBorders>
            <w:shd w:val="clear" w:color="auto" w:fill="auto"/>
            <w:noWrap/>
            <w:vAlign w:val="center"/>
            <w:hideMark/>
          </w:tcPr>
          <w:p w:rsidR="004D55B5" w:rsidRPr="00057A8B" w:rsidRDefault="00057A8B" w:rsidP="004D55B5">
            <w:pPr>
              <w:jc w:val="center"/>
              <w:rPr>
                <w:rFonts w:asciiTheme="minorHAnsi" w:hAnsiTheme="minorHAnsi"/>
                <w:b/>
                <w:bCs/>
                <w:color w:val="000000"/>
                <w:sz w:val="18"/>
                <w:szCs w:val="18"/>
              </w:rPr>
            </w:pPr>
            <w:r w:rsidRPr="00057A8B">
              <w:rPr>
                <w:rFonts w:asciiTheme="minorHAnsi" w:hAnsiTheme="minorHAnsi"/>
                <w:b/>
                <w:bCs/>
                <w:color w:val="000000"/>
                <w:sz w:val="18"/>
                <w:szCs w:val="18"/>
              </w:rPr>
              <w:t>2020-2030</w:t>
            </w:r>
          </w:p>
        </w:tc>
      </w:tr>
      <w:tr w:rsidR="004D55B5" w:rsidRPr="00057A8B" w:rsidTr="00057A8B">
        <w:trPr>
          <w:trHeight w:val="300"/>
        </w:trPr>
        <w:tc>
          <w:tcPr>
            <w:tcW w:w="1250" w:type="pct"/>
            <w:tcBorders>
              <w:top w:val="nil"/>
              <w:left w:val="nil"/>
              <w:bottom w:val="single" w:sz="4" w:space="0" w:color="auto"/>
              <w:right w:val="nil"/>
            </w:tcBorders>
            <w:shd w:val="clear" w:color="auto" w:fill="auto"/>
            <w:noWrap/>
            <w:vAlign w:val="center"/>
            <w:hideMark/>
          </w:tcPr>
          <w:p w:rsidR="004D55B5" w:rsidRPr="00057A8B" w:rsidRDefault="004D55B5" w:rsidP="004D55B5">
            <w:pPr>
              <w:rPr>
                <w:rFonts w:asciiTheme="minorHAnsi" w:hAnsiTheme="minorHAnsi"/>
                <w:color w:val="000000"/>
                <w:sz w:val="18"/>
                <w:szCs w:val="18"/>
              </w:rPr>
            </w:pPr>
            <w:r w:rsidRPr="00057A8B">
              <w:rPr>
                <w:rFonts w:asciiTheme="minorHAnsi" w:hAnsiTheme="minorHAnsi"/>
                <w:color w:val="000000"/>
                <w:sz w:val="18"/>
                <w:szCs w:val="18"/>
              </w:rPr>
              <w:t>Flytninger</w:t>
            </w:r>
          </w:p>
        </w:tc>
        <w:tc>
          <w:tcPr>
            <w:tcW w:w="1250" w:type="pct"/>
            <w:tcBorders>
              <w:top w:val="nil"/>
              <w:left w:val="single" w:sz="4" w:space="0" w:color="auto"/>
              <w:bottom w:val="single" w:sz="4" w:space="0" w:color="auto"/>
              <w:right w:val="nil"/>
            </w:tcBorders>
            <w:shd w:val="clear" w:color="auto" w:fill="auto"/>
            <w:noWrap/>
            <w:vAlign w:val="center"/>
            <w:hideMark/>
          </w:tcPr>
          <w:p w:rsidR="004D55B5" w:rsidRPr="00057A8B" w:rsidRDefault="004D55B5" w:rsidP="004D55B5">
            <w:pPr>
              <w:jc w:val="center"/>
              <w:rPr>
                <w:rFonts w:asciiTheme="minorHAnsi" w:hAnsiTheme="minorHAnsi"/>
                <w:color w:val="000000"/>
                <w:sz w:val="18"/>
                <w:szCs w:val="18"/>
              </w:rPr>
            </w:pPr>
            <w:r w:rsidRPr="00057A8B">
              <w:rPr>
                <w:rFonts w:asciiTheme="minorHAnsi" w:hAnsiTheme="minorHAnsi"/>
                <w:color w:val="000000"/>
                <w:sz w:val="18"/>
                <w:szCs w:val="18"/>
              </w:rPr>
              <w:t>2006-2017</w:t>
            </w:r>
          </w:p>
        </w:tc>
        <w:tc>
          <w:tcPr>
            <w:tcW w:w="1250" w:type="pct"/>
            <w:tcBorders>
              <w:top w:val="nil"/>
              <w:left w:val="nil"/>
              <w:bottom w:val="single" w:sz="4" w:space="0" w:color="auto"/>
              <w:right w:val="nil"/>
            </w:tcBorders>
            <w:shd w:val="clear" w:color="auto" w:fill="auto"/>
            <w:noWrap/>
            <w:vAlign w:val="center"/>
            <w:hideMark/>
          </w:tcPr>
          <w:p w:rsidR="004D55B5" w:rsidRPr="00057A8B" w:rsidRDefault="00057A8B" w:rsidP="004D55B5">
            <w:pPr>
              <w:jc w:val="center"/>
              <w:rPr>
                <w:rFonts w:asciiTheme="minorHAnsi" w:hAnsiTheme="minorHAnsi"/>
                <w:color w:val="000000"/>
                <w:sz w:val="18"/>
                <w:szCs w:val="18"/>
              </w:rPr>
            </w:pPr>
            <w:r>
              <w:rPr>
                <w:rFonts w:asciiTheme="minorHAnsi" w:hAnsiTheme="minorHAnsi"/>
                <w:color w:val="000000"/>
                <w:sz w:val="18"/>
                <w:szCs w:val="18"/>
              </w:rPr>
              <w:t>2015</w:t>
            </w:r>
            <w:r w:rsidRPr="00057A8B">
              <w:rPr>
                <w:rFonts w:asciiTheme="minorHAnsi" w:hAnsiTheme="minorHAnsi"/>
                <w:color w:val="000000"/>
                <w:sz w:val="18"/>
                <w:szCs w:val="18"/>
              </w:rPr>
              <w:t>-2019</w:t>
            </w:r>
          </w:p>
        </w:tc>
        <w:tc>
          <w:tcPr>
            <w:tcW w:w="1250" w:type="pct"/>
            <w:tcBorders>
              <w:top w:val="nil"/>
              <w:left w:val="nil"/>
              <w:bottom w:val="single" w:sz="4" w:space="0" w:color="auto"/>
              <w:right w:val="nil"/>
            </w:tcBorders>
            <w:shd w:val="clear" w:color="auto" w:fill="auto"/>
            <w:noWrap/>
            <w:vAlign w:val="center"/>
            <w:hideMark/>
          </w:tcPr>
          <w:p w:rsidR="004D55B5" w:rsidRPr="00057A8B" w:rsidRDefault="00057A8B" w:rsidP="004D55B5">
            <w:pPr>
              <w:jc w:val="center"/>
              <w:rPr>
                <w:rFonts w:asciiTheme="minorHAnsi" w:hAnsiTheme="minorHAnsi"/>
                <w:color w:val="000000"/>
                <w:sz w:val="18"/>
                <w:szCs w:val="18"/>
              </w:rPr>
            </w:pPr>
            <w:r>
              <w:rPr>
                <w:rFonts w:asciiTheme="minorHAnsi" w:hAnsiTheme="minorHAnsi"/>
                <w:color w:val="000000"/>
                <w:sz w:val="18"/>
                <w:szCs w:val="18"/>
              </w:rPr>
              <w:t>2015</w:t>
            </w:r>
            <w:r w:rsidRPr="00057A8B">
              <w:rPr>
                <w:rFonts w:asciiTheme="minorHAnsi" w:hAnsiTheme="minorHAnsi"/>
                <w:color w:val="000000"/>
                <w:sz w:val="18"/>
                <w:szCs w:val="18"/>
              </w:rPr>
              <w:t>-2019</w:t>
            </w:r>
          </w:p>
        </w:tc>
      </w:tr>
      <w:tr w:rsidR="004D55B5" w:rsidRPr="00057A8B" w:rsidTr="00057A8B">
        <w:trPr>
          <w:trHeight w:val="300"/>
        </w:trPr>
        <w:tc>
          <w:tcPr>
            <w:tcW w:w="1250" w:type="pct"/>
            <w:tcBorders>
              <w:top w:val="nil"/>
              <w:left w:val="nil"/>
              <w:bottom w:val="single" w:sz="4" w:space="0" w:color="auto"/>
              <w:right w:val="nil"/>
            </w:tcBorders>
            <w:shd w:val="clear" w:color="auto" w:fill="auto"/>
            <w:noWrap/>
            <w:vAlign w:val="center"/>
            <w:hideMark/>
          </w:tcPr>
          <w:p w:rsidR="004D55B5" w:rsidRPr="00057A8B" w:rsidRDefault="004D55B5" w:rsidP="004D55B5">
            <w:pPr>
              <w:rPr>
                <w:rFonts w:asciiTheme="minorHAnsi" w:hAnsiTheme="minorHAnsi"/>
                <w:color w:val="000000"/>
                <w:sz w:val="18"/>
                <w:szCs w:val="18"/>
              </w:rPr>
            </w:pPr>
            <w:r w:rsidRPr="00057A8B">
              <w:rPr>
                <w:rFonts w:asciiTheme="minorHAnsi" w:hAnsiTheme="minorHAnsi"/>
                <w:color w:val="000000"/>
                <w:sz w:val="18"/>
                <w:szCs w:val="18"/>
              </w:rPr>
              <w:t>Fødsler</w:t>
            </w:r>
          </w:p>
        </w:tc>
        <w:tc>
          <w:tcPr>
            <w:tcW w:w="3750" w:type="pct"/>
            <w:gridSpan w:val="3"/>
            <w:tcBorders>
              <w:top w:val="single" w:sz="4" w:space="0" w:color="auto"/>
              <w:left w:val="single" w:sz="4" w:space="0" w:color="auto"/>
              <w:bottom w:val="single" w:sz="4" w:space="0" w:color="auto"/>
              <w:right w:val="nil"/>
            </w:tcBorders>
            <w:shd w:val="clear" w:color="auto" w:fill="auto"/>
            <w:noWrap/>
            <w:vAlign w:val="center"/>
            <w:hideMark/>
          </w:tcPr>
          <w:p w:rsidR="004D55B5" w:rsidRPr="00057A8B" w:rsidRDefault="00057A8B" w:rsidP="004D55B5">
            <w:pPr>
              <w:jc w:val="center"/>
              <w:rPr>
                <w:rFonts w:asciiTheme="minorHAnsi" w:hAnsiTheme="minorHAnsi"/>
                <w:color w:val="000000"/>
                <w:sz w:val="18"/>
                <w:szCs w:val="18"/>
              </w:rPr>
            </w:pPr>
            <w:r w:rsidRPr="00057A8B">
              <w:rPr>
                <w:rFonts w:asciiTheme="minorHAnsi" w:hAnsiTheme="minorHAnsi"/>
                <w:color w:val="000000"/>
                <w:sz w:val="18"/>
                <w:szCs w:val="18"/>
              </w:rPr>
              <w:t>2013-2019</w:t>
            </w:r>
          </w:p>
        </w:tc>
      </w:tr>
      <w:tr w:rsidR="004D55B5" w:rsidRPr="008702B4" w:rsidTr="00057A8B">
        <w:trPr>
          <w:trHeight w:val="300"/>
        </w:trPr>
        <w:tc>
          <w:tcPr>
            <w:tcW w:w="1250" w:type="pct"/>
            <w:tcBorders>
              <w:top w:val="nil"/>
              <w:left w:val="nil"/>
              <w:bottom w:val="single" w:sz="4" w:space="0" w:color="auto"/>
              <w:right w:val="nil"/>
            </w:tcBorders>
            <w:shd w:val="clear" w:color="auto" w:fill="auto"/>
            <w:noWrap/>
            <w:vAlign w:val="center"/>
            <w:hideMark/>
          </w:tcPr>
          <w:p w:rsidR="004D55B5" w:rsidRPr="00057A8B" w:rsidRDefault="004D55B5" w:rsidP="004D55B5">
            <w:pPr>
              <w:rPr>
                <w:rFonts w:asciiTheme="minorHAnsi" w:hAnsiTheme="minorHAnsi"/>
                <w:color w:val="000000"/>
                <w:sz w:val="18"/>
                <w:szCs w:val="18"/>
              </w:rPr>
            </w:pPr>
            <w:r w:rsidRPr="00057A8B">
              <w:rPr>
                <w:rFonts w:asciiTheme="minorHAnsi" w:hAnsiTheme="minorHAnsi"/>
                <w:color w:val="000000"/>
                <w:sz w:val="18"/>
                <w:szCs w:val="18"/>
              </w:rPr>
              <w:t>Dødsfald</w:t>
            </w:r>
          </w:p>
        </w:tc>
        <w:tc>
          <w:tcPr>
            <w:tcW w:w="3750" w:type="pct"/>
            <w:gridSpan w:val="3"/>
            <w:tcBorders>
              <w:top w:val="single" w:sz="4" w:space="0" w:color="auto"/>
              <w:left w:val="single" w:sz="4" w:space="0" w:color="auto"/>
              <w:bottom w:val="single" w:sz="4" w:space="0" w:color="auto"/>
              <w:right w:val="nil"/>
            </w:tcBorders>
            <w:shd w:val="clear" w:color="auto" w:fill="auto"/>
            <w:noWrap/>
            <w:vAlign w:val="center"/>
            <w:hideMark/>
          </w:tcPr>
          <w:p w:rsidR="004D55B5" w:rsidRPr="006806EF" w:rsidRDefault="00057A8B" w:rsidP="004D55B5">
            <w:pPr>
              <w:jc w:val="center"/>
              <w:rPr>
                <w:rFonts w:asciiTheme="minorHAnsi" w:hAnsiTheme="minorHAnsi"/>
                <w:color w:val="000000"/>
                <w:sz w:val="18"/>
                <w:szCs w:val="18"/>
              </w:rPr>
            </w:pPr>
            <w:r w:rsidRPr="00057A8B">
              <w:rPr>
                <w:rFonts w:asciiTheme="minorHAnsi" w:hAnsiTheme="minorHAnsi"/>
                <w:color w:val="000000"/>
                <w:sz w:val="18"/>
                <w:szCs w:val="18"/>
              </w:rPr>
              <w:t>2013</w:t>
            </w:r>
            <w:r w:rsidR="004D55B5" w:rsidRPr="00057A8B">
              <w:rPr>
                <w:rFonts w:asciiTheme="minorHAnsi" w:hAnsiTheme="minorHAnsi"/>
                <w:color w:val="000000"/>
                <w:sz w:val="18"/>
                <w:szCs w:val="18"/>
              </w:rPr>
              <w:t>-201</w:t>
            </w:r>
            <w:r w:rsidRPr="00057A8B">
              <w:rPr>
                <w:rFonts w:asciiTheme="minorHAnsi" w:hAnsiTheme="minorHAnsi"/>
                <w:color w:val="000000"/>
                <w:sz w:val="18"/>
                <w:szCs w:val="18"/>
              </w:rPr>
              <w:t>9</w:t>
            </w:r>
          </w:p>
        </w:tc>
      </w:tr>
    </w:tbl>
    <w:p w:rsidR="006D04C4" w:rsidRPr="00D30D29" w:rsidRDefault="006D04C4" w:rsidP="006D04C4">
      <w:pPr>
        <w:rPr>
          <w:highlight w:val="yellow"/>
        </w:rPr>
      </w:pPr>
    </w:p>
    <w:p w:rsidR="006D04C4" w:rsidRPr="00E1206E" w:rsidRDefault="006D04C4" w:rsidP="006D04C4">
      <w:r w:rsidRPr="0031213E">
        <w:t xml:space="preserve">Som det fremgår af tabellen beregnes </w:t>
      </w:r>
      <w:r w:rsidRPr="0031213E">
        <w:rPr>
          <w:b/>
        </w:rPr>
        <w:t>flytteparametrene</w:t>
      </w:r>
      <w:r w:rsidRPr="0031213E">
        <w:t xml:space="preserve"> </w:t>
      </w:r>
      <w:r w:rsidR="00D81727">
        <w:t>for udviklingen i 2019</w:t>
      </w:r>
      <w:r w:rsidRPr="0031213E">
        <w:t xml:space="preserve"> på baggrund af</w:t>
      </w:r>
      <w:r w:rsidR="00057A8B">
        <w:t xml:space="preserve"> årene 2015</w:t>
      </w:r>
      <w:r w:rsidR="001E013A">
        <w:t>-2018</w:t>
      </w:r>
      <w:r w:rsidR="00057A8B">
        <w:t>. I prognoseårene 2020-2030</w:t>
      </w:r>
      <w:r w:rsidRPr="0031213E">
        <w:t xml:space="preserve"> tag</w:t>
      </w:r>
      <w:r w:rsidR="00057A8B">
        <w:t>es der udgangspunkt i årene 2015-2019</w:t>
      </w:r>
      <w:r w:rsidRPr="0031213E">
        <w:t xml:space="preserve">. </w:t>
      </w:r>
    </w:p>
    <w:p w:rsidR="006D04C4" w:rsidRPr="00D30D29" w:rsidRDefault="006D04C4" w:rsidP="006D04C4">
      <w:pPr>
        <w:rPr>
          <w:highlight w:val="yellow"/>
        </w:rPr>
      </w:pPr>
    </w:p>
    <w:p w:rsidR="006D04C4" w:rsidRPr="00023791" w:rsidRDefault="006D04C4" w:rsidP="006D04C4">
      <w:pPr>
        <w:pStyle w:val="Normal1"/>
        <w:rPr>
          <w:rFonts w:ascii="Arial" w:hAnsi="Arial" w:cs="Arial"/>
          <w:sz w:val="22"/>
          <w:szCs w:val="22"/>
        </w:rPr>
      </w:pPr>
      <w:r w:rsidRPr="00023791">
        <w:rPr>
          <w:rFonts w:ascii="Arial" w:hAnsi="Arial" w:cs="Arial"/>
          <w:sz w:val="22"/>
          <w:szCs w:val="22"/>
        </w:rPr>
        <w:t xml:space="preserve">For så vidt angår </w:t>
      </w:r>
      <w:r w:rsidRPr="00023791">
        <w:rPr>
          <w:rFonts w:ascii="Arial" w:hAnsi="Arial" w:cs="Arial"/>
          <w:b/>
          <w:sz w:val="22"/>
          <w:szCs w:val="22"/>
        </w:rPr>
        <w:t>fødsler</w:t>
      </w:r>
      <w:r w:rsidRPr="00023791">
        <w:rPr>
          <w:rFonts w:ascii="Arial" w:hAnsi="Arial" w:cs="Arial"/>
          <w:sz w:val="22"/>
          <w:szCs w:val="22"/>
        </w:rPr>
        <w:t xml:space="preserve"> beregnes disse i samtlige prognoseår på baggrund af de seneste historiske år 201</w:t>
      </w:r>
      <w:r w:rsidR="00057A8B">
        <w:rPr>
          <w:rFonts w:ascii="Arial" w:hAnsi="Arial" w:cs="Arial"/>
          <w:sz w:val="22"/>
          <w:szCs w:val="22"/>
        </w:rPr>
        <w:t>3-2019</w:t>
      </w:r>
      <w:r w:rsidRPr="00023791">
        <w:rPr>
          <w:rFonts w:ascii="Arial" w:hAnsi="Arial" w:cs="Arial"/>
          <w:sz w:val="22"/>
          <w:szCs w:val="22"/>
        </w:rPr>
        <w:t>. Dette sker ud fra vurderingen af, at fertiliteten i disse år, set med historiske briller, i højere grad kan betragtes som ”normalsituation” end den ”høje” fertilitet i årene med økonomisk højkonjunktur. Denne vurdering er foretaget på baggrund a</w:t>
      </w:r>
      <w:r w:rsidR="00023791">
        <w:rPr>
          <w:rFonts w:ascii="Arial" w:hAnsi="Arial" w:cs="Arial"/>
          <w:sz w:val="22"/>
          <w:szCs w:val="22"/>
        </w:rPr>
        <w:t>f historiske data på landsplan.</w:t>
      </w:r>
    </w:p>
    <w:p w:rsidR="006D04C4" w:rsidRPr="00D30D29" w:rsidRDefault="006D04C4" w:rsidP="006D04C4">
      <w:pPr>
        <w:rPr>
          <w:highlight w:val="yellow"/>
        </w:rPr>
      </w:pPr>
    </w:p>
    <w:p w:rsidR="006D04C4" w:rsidRPr="00412CC4" w:rsidRDefault="006D04C4" w:rsidP="00412CC4">
      <w:pPr>
        <w:pStyle w:val="Normal1"/>
        <w:rPr>
          <w:rFonts w:ascii="Arial" w:hAnsi="Arial" w:cs="Arial"/>
          <w:sz w:val="22"/>
          <w:szCs w:val="22"/>
        </w:rPr>
      </w:pPr>
      <w:r w:rsidRPr="00412CC4">
        <w:rPr>
          <w:rFonts w:ascii="Arial" w:hAnsi="Arial" w:cs="Arial"/>
          <w:sz w:val="22"/>
          <w:szCs w:val="22"/>
        </w:rPr>
        <w:lastRenderedPageBreak/>
        <w:t xml:space="preserve">Hvad angår </w:t>
      </w:r>
      <w:r w:rsidRPr="00412CC4">
        <w:rPr>
          <w:rFonts w:ascii="Arial" w:hAnsi="Arial" w:cs="Arial"/>
          <w:b/>
          <w:sz w:val="22"/>
          <w:szCs w:val="22"/>
        </w:rPr>
        <w:t>dødsfald</w:t>
      </w:r>
      <w:r w:rsidR="00057A8B">
        <w:rPr>
          <w:rFonts w:ascii="Arial" w:hAnsi="Arial" w:cs="Arial"/>
          <w:sz w:val="22"/>
          <w:szCs w:val="22"/>
        </w:rPr>
        <w:t xml:space="preserve"> beregnes disse for de samme</w:t>
      </w:r>
      <w:r w:rsidRPr="00412CC4">
        <w:rPr>
          <w:rFonts w:ascii="Arial" w:hAnsi="Arial" w:cs="Arial"/>
          <w:sz w:val="22"/>
          <w:szCs w:val="22"/>
        </w:rPr>
        <w:t xml:space="preserve"> prognoseår</w:t>
      </w:r>
      <w:r w:rsidR="00057A8B">
        <w:rPr>
          <w:rFonts w:ascii="Arial" w:hAnsi="Arial" w:cs="Arial"/>
          <w:sz w:val="22"/>
          <w:szCs w:val="22"/>
        </w:rPr>
        <w:t xml:space="preserve"> som med fødsler, altså</w:t>
      </w:r>
      <w:r w:rsidRPr="00412CC4">
        <w:rPr>
          <w:rFonts w:ascii="Arial" w:hAnsi="Arial" w:cs="Arial"/>
          <w:sz w:val="22"/>
          <w:szCs w:val="22"/>
        </w:rPr>
        <w:t xml:space="preserve"> på baggru</w:t>
      </w:r>
      <w:r w:rsidR="00057A8B">
        <w:rPr>
          <w:rFonts w:ascii="Arial" w:hAnsi="Arial" w:cs="Arial"/>
          <w:sz w:val="22"/>
          <w:szCs w:val="22"/>
        </w:rPr>
        <w:t>nd af de historiske år 2013-2019 Disse år</w:t>
      </w:r>
      <w:r w:rsidRPr="00412CC4">
        <w:rPr>
          <w:rFonts w:ascii="Arial" w:hAnsi="Arial" w:cs="Arial"/>
          <w:sz w:val="22"/>
          <w:szCs w:val="22"/>
        </w:rPr>
        <w:t xml:space="preserve"> betragtes som relativt normale år. Tallene er korrigeret for den lokale levealder, ligesom der regnes med en stigende levealder over prognoseperioden svarende til DR</w:t>
      </w:r>
      <w:r w:rsidR="00057A8B">
        <w:rPr>
          <w:rFonts w:ascii="Arial" w:hAnsi="Arial" w:cs="Arial"/>
          <w:sz w:val="22"/>
          <w:szCs w:val="22"/>
        </w:rPr>
        <w:t>EAM-modellens metode, hvor den forventede stigning dog er aftaget i forhold til tidligere år.</w:t>
      </w:r>
    </w:p>
    <w:p w:rsidR="006D04C4" w:rsidRPr="0073451C" w:rsidRDefault="006D04C4" w:rsidP="006D04C4">
      <w:pPr>
        <w:pStyle w:val="Overskrift3"/>
        <w:numPr>
          <w:ilvl w:val="2"/>
          <w:numId w:val="5"/>
        </w:numPr>
        <w:tabs>
          <w:tab w:val="clear" w:pos="720"/>
        </w:tabs>
      </w:pPr>
      <w:bookmarkStart w:id="22" w:name="_Toc6400701"/>
      <w:bookmarkStart w:id="23" w:name="_Toc38361233"/>
      <w:r w:rsidRPr="0073451C">
        <w:t>Fertilitet og mortalitet</w:t>
      </w:r>
      <w:bookmarkEnd w:id="22"/>
      <w:bookmarkEnd w:id="23"/>
    </w:p>
    <w:p w:rsidR="006D04C4" w:rsidRPr="0073451C" w:rsidRDefault="006D04C4" w:rsidP="006D04C4">
      <w:r w:rsidRPr="0073451C">
        <w:t>Fertilitet og mortalitet spiller en afgørende rolle for prognoseberegningen. Nedenfor redegøres for forventningerne til fertilitet og mortalitet, med vægt på fertilitet, som har flest lokale udsving.</w:t>
      </w:r>
    </w:p>
    <w:p w:rsidR="006D04C4" w:rsidRPr="0073451C" w:rsidRDefault="006D04C4" w:rsidP="006D04C4"/>
    <w:p w:rsidR="006D04C4" w:rsidRPr="00C818E1" w:rsidRDefault="006D04C4" w:rsidP="006D04C4">
      <w:r w:rsidRPr="00C818E1">
        <w:t xml:space="preserve">Figur </w:t>
      </w:r>
      <w:r w:rsidR="009B1DA1">
        <w:t>1</w:t>
      </w:r>
      <w:r w:rsidRPr="00C818E1">
        <w:t xml:space="preserve"> nedenfo</w:t>
      </w:r>
      <w:r w:rsidR="009B1DA1">
        <w:t>r viser fertilitetsprofiler</w:t>
      </w:r>
      <w:r w:rsidRPr="00C818E1">
        <w:t xml:space="preserve"> for hele landet, Region Hovedstaden og Brøndby Kommune. Figuren viser antal fødsler pr. 1.000 kvinder i en given alder.</w:t>
      </w:r>
    </w:p>
    <w:p w:rsidR="006D04C4" w:rsidRPr="00D30D29" w:rsidRDefault="006D04C4" w:rsidP="006D04C4">
      <w:pPr>
        <w:rPr>
          <w:highlight w:val="yellow"/>
        </w:rPr>
      </w:pPr>
    </w:p>
    <w:p w:rsidR="00B73D8F" w:rsidRPr="00B73D8F" w:rsidRDefault="006D04C4" w:rsidP="00B73D8F">
      <w:pPr>
        <w:pStyle w:val="Billedtekst"/>
        <w:rPr>
          <w:rFonts w:ascii="Arial" w:hAnsi="Arial" w:cs="Arial"/>
        </w:rPr>
      </w:pPr>
      <w:r w:rsidRPr="00B73D8F">
        <w:rPr>
          <w:rFonts w:ascii="Arial" w:hAnsi="Arial" w:cs="Arial"/>
          <w:b/>
        </w:rPr>
        <w:t xml:space="preserve">Figur </w:t>
      </w:r>
      <w:r w:rsidR="009B1DA1" w:rsidRPr="00B73D8F">
        <w:rPr>
          <w:rFonts w:ascii="Arial" w:hAnsi="Arial" w:cs="Arial"/>
          <w:b/>
        </w:rPr>
        <w:t>1</w:t>
      </w:r>
      <w:r w:rsidRPr="00B73D8F">
        <w:rPr>
          <w:rFonts w:ascii="Arial" w:hAnsi="Arial" w:cs="Arial"/>
          <w:b/>
        </w:rPr>
        <w:t>.</w:t>
      </w:r>
      <w:r w:rsidRPr="00B73D8F">
        <w:rPr>
          <w:rFonts w:ascii="Arial" w:hAnsi="Arial" w:cs="Arial"/>
        </w:rPr>
        <w:t xml:space="preserve"> Fertilitetsprofiler for kvinder mellem 15-49 år i Hele landet, Region Hovedstaden og Brøndby Kommune - antal fødsler pr. 1.000 kvinder.</w:t>
      </w:r>
    </w:p>
    <w:p w:rsidR="006D04C4" w:rsidRPr="00D30D29" w:rsidRDefault="00BA7D7C" w:rsidP="006D04C4">
      <w:pPr>
        <w:rPr>
          <w:noProof/>
          <w:highlight w:val="yellow"/>
        </w:rPr>
      </w:pPr>
      <w:r>
        <w:rPr>
          <w:noProof/>
        </w:rPr>
        <w:drawing>
          <wp:inline distT="0" distB="0" distL="0" distR="0" wp14:anchorId="5EE29D86" wp14:editId="70F59404">
            <wp:extent cx="6120765" cy="3467100"/>
            <wp:effectExtent l="0" t="0" r="13335"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04C4" w:rsidRPr="00B73D8F" w:rsidRDefault="006D04C4" w:rsidP="006D04C4">
      <w:pPr>
        <w:rPr>
          <w:i/>
          <w:noProof/>
          <w:sz w:val="18"/>
          <w:szCs w:val="18"/>
        </w:rPr>
      </w:pPr>
      <w:r w:rsidRPr="00B73D8F">
        <w:rPr>
          <w:i/>
          <w:noProof/>
          <w:sz w:val="18"/>
          <w:szCs w:val="18"/>
        </w:rPr>
        <w:t>Kilde: Danmark Statistik, FODIE, FOLK1 og egne beregninger.</w:t>
      </w:r>
    </w:p>
    <w:p w:rsidR="006D04C4" w:rsidRPr="00D30D29" w:rsidRDefault="006D04C4" w:rsidP="006D04C4">
      <w:pPr>
        <w:rPr>
          <w:noProof/>
          <w:highlight w:val="yellow"/>
        </w:rPr>
      </w:pPr>
    </w:p>
    <w:p w:rsidR="006D04C4" w:rsidRPr="00C818E1" w:rsidRDefault="006D04C4" w:rsidP="006D04C4">
      <w:pPr>
        <w:rPr>
          <w:noProof/>
        </w:rPr>
      </w:pPr>
      <w:r w:rsidRPr="00C818E1">
        <w:rPr>
          <w:noProof/>
        </w:rPr>
        <w:t xml:space="preserve">Som det fremgår af figuren, kendetegnes Brøndby Kommunes kvinder ved, at de føder tidligere end kvinderne i hele landet og i Region Hovedstaden. Faktisk minder Brøndby Kommunes kvinders fertilitetsprofil mere om hele landet end om Region Hovedstaden. </w:t>
      </w:r>
      <w:r w:rsidRPr="00C818E1">
        <w:rPr>
          <w:noProof/>
        </w:rPr>
        <w:lastRenderedPageBreak/>
        <w:t>Årsagen til den ”knækkende” kurve for Brøndby er, at Brøndby Kommune udgør en relativt lille population sammenlignet med landet og regionen.</w:t>
      </w:r>
    </w:p>
    <w:p w:rsidR="006D04C4" w:rsidRPr="00D30D29" w:rsidRDefault="006D04C4" w:rsidP="006D04C4">
      <w:pPr>
        <w:rPr>
          <w:noProof/>
          <w:highlight w:val="yellow"/>
        </w:rPr>
      </w:pPr>
    </w:p>
    <w:p w:rsidR="006D04C4" w:rsidRDefault="006D04C4" w:rsidP="006D04C4">
      <w:pPr>
        <w:rPr>
          <w:noProof/>
        </w:rPr>
      </w:pPr>
      <w:r w:rsidRPr="007857B7">
        <w:rPr>
          <w:noProof/>
        </w:rPr>
        <w:t xml:space="preserve">Figur </w:t>
      </w:r>
      <w:r>
        <w:rPr>
          <w:noProof/>
        </w:rPr>
        <w:t>2</w:t>
      </w:r>
      <w:r w:rsidRPr="007857B7">
        <w:rPr>
          <w:noProof/>
        </w:rPr>
        <w:t xml:space="preserve"> nedenfor viser de samlede fertilitetskvotienter for hele landet, Region Hovedstaden </w:t>
      </w:r>
      <w:r w:rsidR="00057A8B">
        <w:rPr>
          <w:noProof/>
        </w:rPr>
        <w:t>og Brøndby Kommune fra 1986-2019</w:t>
      </w:r>
      <w:r w:rsidRPr="007857B7">
        <w:rPr>
          <w:noProof/>
        </w:rPr>
        <w:t xml:space="preserve">. </w:t>
      </w:r>
    </w:p>
    <w:p w:rsidR="006D04C4" w:rsidRDefault="006D04C4" w:rsidP="006D04C4">
      <w:pPr>
        <w:rPr>
          <w:noProof/>
        </w:rPr>
      </w:pPr>
    </w:p>
    <w:p w:rsidR="006D04C4" w:rsidRPr="00B73D8F" w:rsidRDefault="006D04C4" w:rsidP="006D04C4">
      <w:pPr>
        <w:rPr>
          <w:sz w:val="18"/>
          <w:szCs w:val="18"/>
        </w:rPr>
      </w:pPr>
      <w:r w:rsidRPr="00B73D8F">
        <w:rPr>
          <w:b/>
          <w:sz w:val="18"/>
          <w:szCs w:val="18"/>
        </w:rPr>
        <w:t xml:space="preserve">Figur </w:t>
      </w:r>
      <w:r w:rsidRPr="00B73D8F">
        <w:rPr>
          <w:b/>
          <w:sz w:val="18"/>
          <w:szCs w:val="18"/>
        </w:rPr>
        <w:fldChar w:fldCharType="begin"/>
      </w:r>
      <w:r w:rsidRPr="00B73D8F">
        <w:rPr>
          <w:b/>
          <w:sz w:val="18"/>
          <w:szCs w:val="18"/>
        </w:rPr>
        <w:instrText xml:space="preserve"> SEQ Figur \* ARABIC </w:instrText>
      </w:r>
      <w:r w:rsidRPr="00B73D8F">
        <w:rPr>
          <w:b/>
          <w:sz w:val="18"/>
          <w:szCs w:val="18"/>
        </w:rPr>
        <w:fldChar w:fldCharType="separate"/>
      </w:r>
      <w:r w:rsidRPr="00B73D8F">
        <w:rPr>
          <w:b/>
          <w:noProof/>
          <w:sz w:val="18"/>
          <w:szCs w:val="18"/>
        </w:rPr>
        <w:t>2</w:t>
      </w:r>
      <w:r w:rsidRPr="00B73D8F">
        <w:rPr>
          <w:b/>
          <w:sz w:val="18"/>
          <w:szCs w:val="18"/>
        </w:rPr>
        <w:fldChar w:fldCharType="end"/>
      </w:r>
      <w:r w:rsidRPr="00B73D8F">
        <w:rPr>
          <w:b/>
          <w:sz w:val="18"/>
          <w:szCs w:val="18"/>
        </w:rPr>
        <w:t>.</w:t>
      </w:r>
      <w:r w:rsidRPr="00B73D8F">
        <w:rPr>
          <w:sz w:val="18"/>
          <w:szCs w:val="18"/>
        </w:rPr>
        <w:t xml:space="preserve"> Samlede fertilitetskvotienter for Hele landet, Region Hovedstaden og Brøndby Kommune fra 1986-201</w:t>
      </w:r>
      <w:r w:rsidR="00057A8B">
        <w:rPr>
          <w:sz w:val="18"/>
          <w:szCs w:val="18"/>
        </w:rPr>
        <w:t>9</w:t>
      </w:r>
    </w:p>
    <w:p w:rsidR="008E39E9" w:rsidRDefault="008E39E9" w:rsidP="006D04C4">
      <w:pPr>
        <w:rPr>
          <w:noProof/>
        </w:rPr>
      </w:pPr>
    </w:p>
    <w:p w:rsidR="006D04C4" w:rsidRPr="007857B7" w:rsidRDefault="00CC4CD2" w:rsidP="006D04C4">
      <w:pPr>
        <w:rPr>
          <w:noProof/>
        </w:rPr>
      </w:pPr>
      <w:r>
        <w:rPr>
          <w:noProof/>
        </w:rPr>
        <w:drawing>
          <wp:inline distT="0" distB="0" distL="0" distR="0" wp14:anchorId="156ED2DF" wp14:editId="618CE7A0">
            <wp:extent cx="6120765" cy="2872740"/>
            <wp:effectExtent l="0" t="0" r="0" b="381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04C4" w:rsidRPr="00B73D8F" w:rsidRDefault="006D04C4" w:rsidP="006D04C4">
      <w:pPr>
        <w:rPr>
          <w:i/>
          <w:noProof/>
          <w:sz w:val="18"/>
          <w:szCs w:val="18"/>
        </w:rPr>
      </w:pPr>
      <w:r w:rsidRPr="00B73D8F">
        <w:rPr>
          <w:i/>
          <w:noProof/>
          <w:sz w:val="18"/>
          <w:szCs w:val="18"/>
        </w:rPr>
        <w:t>Kilde: Danmarks Statistik, FOD407 og egne beregninger. For Brøndby er udsvingene ret markante, grundet den lille population.</w:t>
      </w:r>
    </w:p>
    <w:p w:rsidR="006D04C4" w:rsidRPr="007857B7" w:rsidRDefault="006D04C4" w:rsidP="006D04C4">
      <w:pPr>
        <w:rPr>
          <w:noProof/>
        </w:rPr>
      </w:pPr>
    </w:p>
    <w:p w:rsidR="006D04C4" w:rsidRPr="007857B7" w:rsidRDefault="006D04C4" w:rsidP="006D04C4">
      <w:pPr>
        <w:rPr>
          <w:noProof/>
        </w:rPr>
      </w:pPr>
      <w:r w:rsidRPr="007857B7">
        <w:rPr>
          <w:noProof/>
        </w:rPr>
        <w:t>Som det fremgår af</w:t>
      </w:r>
      <w:r>
        <w:rPr>
          <w:noProof/>
        </w:rPr>
        <w:t xml:space="preserve"> denne figur</w:t>
      </w:r>
      <w:r w:rsidRPr="007857B7">
        <w:rPr>
          <w:noProof/>
        </w:rPr>
        <w:t xml:space="preserve">, har fertilitetsniveauet </w:t>
      </w:r>
      <w:r w:rsidR="008E39E9">
        <w:rPr>
          <w:noProof/>
        </w:rPr>
        <w:t xml:space="preserve">været svingende. Efter årtusindeskiftet var der en stigende tendens set i forhold til landsgennemsnittet dog med en mere afdæmpet udvikling i region hovedstaden. Fra 2012 har der generelt set været en faldende tendens som dog synes at være på vej op igen. Det er dog noget usikkert hvorvidt denne udvikling fortsætter de kommende år. </w:t>
      </w:r>
    </w:p>
    <w:p w:rsidR="006D04C4" w:rsidRPr="00D30D29" w:rsidRDefault="006D04C4" w:rsidP="006D04C4">
      <w:pPr>
        <w:rPr>
          <w:noProof/>
          <w:highlight w:val="yellow"/>
        </w:rPr>
      </w:pPr>
    </w:p>
    <w:p w:rsidR="006D04C4" w:rsidRDefault="006D04C4" w:rsidP="006D04C4">
      <w:pPr>
        <w:rPr>
          <w:noProof/>
        </w:rPr>
      </w:pPr>
      <w:r w:rsidRPr="00B7496E">
        <w:rPr>
          <w:noProof/>
        </w:rPr>
        <w:t xml:space="preserve">Brøndby Kommune har </w:t>
      </w:r>
      <w:r w:rsidR="008E39E9">
        <w:rPr>
          <w:noProof/>
        </w:rPr>
        <w:t xml:space="preserve">også haft en svingende udvikling dog overvejende med en højere fertilitetskvotient end landsgennemsnittet. </w:t>
      </w:r>
      <w:r w:rsidR="000849C4">
        <w:rPr>
          <w:noProof/>
        </w:rPr>
        <w:t>Gennemsnittet for Brøndby</w:t>
      </w:r>
      <w:r w:rsidR="008E39E9">
        <w:rPr>
          <w:noProof/>
        </w:rPr>
        <w:t xml:space="preserve"> er også </w:t>
      </w:r>
      <w:r w:rsidR="000849C4">
        <w:rPr>
          <w:noProof/>
        </w:rPr>
        <w:t>højere i hele perioden. I 2017 var der et dyk hvor kommunen nåede ned på landsgennemsnittet. Det ser dog ud til at denne udvikling er på vej op igen om end det er for tidligt at spå om denne udvikling vil være vedvarende.</w:t>
      </w:r>
    </w:p>
    <w:p w:rsidR="008E39E9" w:rsidRPr="00B7496E" w:rsidRDefault="008E39E9" w:rsidP="006D04C4">
      <w:pPr>
        <w:rPr>
          <w:noProof/>
        </w:rPr>
      </w:pPr>
    </w:p>
    <w:p w:rsidR="006D04C4" w:rsidRPr="00B7496E" w:rsidRDefault="006D04C4" w:rsidP="006D04C4">
      <w:pPr>
        <w:rPr>
          <w:noProof/>
        </w:rPr>
      </w:pPr>
      <w:r w:rsidRPr="00B7496E">
        <w:rPr>
          <w:noProof/>
        </w:rPr>
        <w:t xml:space="preserve">Som det fremgår af den henholdvis røde og især den sorte lineære kurve i diagrammet, som udtrykker det historiske gennemsnit for alle årene for hhv. Brøndby og hele landet, så kan </w:t>
      </w:r>
      <w:r w:rsidRPr="00B7496E">
        <w:rPr>
          <w:noProof/>
        </w:rPr>
        <w:lastRenderedPageBreak/>
        <w:t xml:space="preserve">fertilitetsniveauerne i midt-/slut-00’erne betegnes som værende temmelig høje historisk set. Modsat er fertilitetsniveauet faldende i perioden efter og læner sig mere op ad udviklingen på landsplan og i Region Hovedstaden, hvilket er årsag til at der i prognosens beregningsgrundlag </w:t>
      </w:r>
      <w:r w:rsidR="00057A8B">
        <w:rPr>
          <w:noProof/>
        </w:rPr>
        <w:t>anvendes data fra 2013 til 2019</w:t>
      </w:r>
      <w:r w:rsidRPr="00B7496E">
        <w:rPr>
          <w:noProof/>
        </w:rPr>
        <w:t>. Data før 2006 er ikke tilgængeligt i for prognosens beregningsgrundlag.</w:t>
      </w:r>
    </w:p>
    <w:p w:rsidR="006D04C4" w:rsidRPr="00D30D29" w:rsidRDefault="006D04C4" w:rsidP="006D04C4">
      <w:pPr>
        <w:rPr>
          <w:rFonts w:asciiTheme="minorHAnsi" w:hAnsiTheme="minorHAnsi" w:cstheme="minorHAnsi"/>
          <w:noProof/>
          <w:sz w:val="18"/>
          <w:szCs w:val="18"/>
          <w:highlight w:val="yellow"/>
        </w:rPr>
      </w:pPr>
    </w:p>
    <w:p w:rsidR="006D04C4" w:rsidRPr="00BD71B5" w:rsidRDefault="001C0331" w:rsidP="006D04C4">
      <w:pPr>
        <w:rPr>
          <w:noProof/>
        </w:rPr>
      </w:pPr>
      <w:r w:rsidRPr="001C0331">
        <w:rPr>
          <w:noProof/>
        </w:rPr>
        <w:t xml:space="preserve">Figur </w:t>
      </w:r>
      <w:r w:rsidR="006D04C4" w:rsidRPr="001C0331">
        <w:rPr>
          <w:noProof/>
        </w:rPr>
        <w:t>3 nedenfor viser den historiske balance mellem fødsler og dødsfald (kaldet f</w:t>
      </w:r>
      <w:r w:rsidRPr="001C0331">
        <w:rPr>
          <w:noProof/>
        </w:rPr>
        <w:t>ødselsoverskuddet) for 2006-2019</w:t>
      </w:r>
      <w:r w:rsidR="006D04C4" w:rsidRPr="001C0331">
        <w:rPr>
          <w:noProof/>
        </w:rPr>
        <w:t xml:space="preserve"> sammenlignet med p</w:t>
      </w:r>
      <w:r w:rsidR="000E7B4E">
        <w:rPr>
          <w:noProof/>
        </w:rPr>
        <w:t>rognosens fremskrivning til 2030</w:t>
      </w:r>
      <w:r w:rsidR="006D04C4" w:rsidRPr="001C0331">
        <w:rPr>
          <w:noProof/>
        </w:rPr>
        <w:t>.</w:t>
      </w:r>
    </w:p>
    <w:p w:rsidR="006D04C4" w:rsidRPr="00BD71B5" w:rsidRDefault="006D04C4" w:rsidP="006D04C4">
      <w:pPr>
        <w:rPr>
          <w:noProof/>
          <w:sz w:val="18"/>
          <w:szCs w:val="18"/>
        </w:rPr>
      </w:pPr>
    </w:p>
    <w:p w:rsidR="006D04C4" w:rsidRPr="00BD71B5" w:rsidRDefault="006D04C4" w:rsidP="006D04C4">
      <w:pPr>
        <w:rPr>
          <w:noProof/>
        </w:rPr>
      </w:pPr>
      <w:r w:rsidRPr="00BD71B5">
        <w:rPr>
          <w:noProof/>
        </w:rPr>
        <w:t xml:space="preserve">Som det fremgår af figuren, er balancen tippet i 2013, således at der efter en periode med fødselsunderskud fra 2009 til og med 2012, nu igen er tale om en positiv balance - et fødselsoverskud. </w:t>
      </w:r>
      <w:r w:rsidR="001C0331">
        <w:rPr>
          <w:noProof/>
        </w:rPr>
        <w:t>Udviklingen var igen kortvarigt nede i 2017 men</w:t>
      </w:r>
      <w:r w:rsidR="007B0FB3">
        <w:rPr>
          <w:noProof/>
        </w:rPr>
        <w:t>s</w:t>
      </w:r>
      <w:r w:rsidR="001C0331">
        <w:rPr>
          <w:noProof/>
        </w:rPr>
        <w:t xml:space="preserve"> 2018</w:t>
      </w:r>
      <w:r w:rsidR="007B0FB3">
        <w:rPr>
          <w:noProof/>
        </w:rPr>
        <w:t xml:space="preserve"> viste et plus. I 2019 var der et beskedent ”overskud”</w:t>
      </w:r>
      <w:r w:rsidR="001C0331">
        <w:rPr>
          <w:noProof/>
        </w:rPr>
        <w:t xml:space="preserve">. </w:t>
      </w:r>
      <w:r w:rsidRPr="00BD71B5">
        <w:rPr>
          <w:noProof/>
        </w:rPr>
        <w:t>Det forventes, at denne positive balan</w:t>
      </w:r>
      <w:r w:rsidR="001C0331">
        <w:rPr>
          <w:noProof/>
        </w:rPr>
        <w:t>ce fortsætter på et stabilt</w:t>
      </w:r>
      <w:r w:rsidRPr="00BD71B5">
        <w:rPr>
          <w:noProof/>
        </w:rPr>
        <w:t xml:space="preserve"> niveau over 0 i</w:t>
      </w:r>
      <w:r w:rsidR="001C0331">
        <w:rPr>
          <w:noProof/>
        </w:rPr>
        <w:t xml:space="preserve"> alle prognoseårene med de højeste overskud midt i perioden.</w:t>
      </w:r>
    </w:p>
    <w:p w:rsidR="006D04C4" w:rsidRPr="00BD71B5" w:rsidRDefault="006D04C4" w:rsidP="006D04C4">
      <w:pPr>
        <w:rPr>
          <w:noProof/>
        </w:rPr>
      </w:pPr>
    </w:p>
    <w:p w:rsidR="006D04C4" w:rsidRPr="00B73D8F" w:rsidRDefault="006D04C4" w:rsidP="006D04C4">
      <w:pPr>
        <w:pStyle w:val="Billedtekst"/>
        <w:rPr>
          <w:rFonts w:ascii="Arial" w:hAnsi="Arial" w:cs="Arial"/>
        </w:rPr>
      </w:pPr>
      <w:r w:rsidRPr="00B73D8F">
        <w:rPr>
          <w:rFonts w:ascii="Arial" w:hAnsi="Arial" w:cs="Arial"/>
          <w:b/>
        </w:rPr>
        <w:t xml:space="preserve">Figur </w:t>
      </w:r>
      <w:r w:rsidRPr="00B73D8F">
        <w:rPr>
          <w:rFonts w:ascii="Arial" w:hAnsi="Arial" w:cs="Arial"/>
          <w:b/>
        </w:rPr>
        <w:fldChar w:fldCharType="begin"/>
      </w:r>
      <w:r w:rsidRPr="00B73D8F">
        <w:rPr>
          <w:rFonts w:ascii="Arial" w:hAnsi="Arial" w:cs="Arial"/>
          <w:b/>
        </w:rPr>
        <w:instrText xml:space="preserve"> SEQ Figur \* ARABIC </w:instrText>
      </w:r>
      <w:r w:rsidRPr="00B73D8F">
        <w:rPr>
          <w:rFonts w:ascii="Arial" w:hAnsi="Arial" w:cs="Arial"/>
          <w:b/>
        </w:rPr>
        <w:fldChar w:fldCharType="separate"/>
      </w:r>
      <w:r w:rsidRPr="00B73D8F">
        <w:rPr>
          <w:rFonts w:ascii="Arial" w:hAnsi="Arial" w:cs="Arial"/>
          <w:b/>
          <w:noProof/>
        </w:rPr>
        <w:t>3</w:t>
      </w:r>
      <w:r w:rsidRPr="00B73D8F">
        <w:rPr>
          <w:rFonts w:ascii="Arial" w:hAnsi="Arial" w:cs="Arial"/>
          <w:b/>
        </w:rPr>
        <w:fldChar w:fldCharType="end"/>
      </w:r>
      <w:r w:rsidRPr="00B73D8F">
        <w:rPr>
          <w:rFonts w:ascii="Arial" w:hAnsi="Arial" w:cs="Arial"/>
          <w:b/>
        </w:rPr>
        <w:t>.</w:t>
      </w:r>
      <w:r w:rsidRPr="00B73D8F">
        <w:rPr>
          <w:rFonts w:ascii="Arial" w:hAnsi="Arial" w:cs="Arial"/>
        </w:rPr>
        <w:t xml:space="preserve"> Fødte og døde samt fødselso</w:t>
      </w:r>
      <w:r w:rsidR="007B0FB3">
        <w:rPr>
          <w:rFonts w:ascii="Arial" w:hAnsi="Arial" w:cs="Arial"/>
        </w:rPr>
        <w:t>verskud - historik fra 2006-2019 og prognose for 2020</w:t>
      </w:r>
      <w:r w:rsidRPr="00B73D8F">
        <w:rPr>
          <w:rFonts w:ascii="Arial" w:hAnsi="Arial" w:cs="Arial"/>
        </w:rPr>
        <w:t>-20</w:t>
      </w:r>
      <w:r w:rsidR="007B0FB3">
        <w:rPr>
          <w:rFonts w:ascii="Arial" w:hAnsi="Arial" w:cs="Arial"/>
        </w:rPr>
        <w:t>30</w:t>
      </w:r>
      <w:r w:rsidRPr="00B73D8F">
        <w:rPr>
          <w:rFonts w:ascii="Arial" w:hAnsi="Arial" w:cs="Arial"/>
        </w:rPr>
        <w:t>.</w:t>
      </w:r>
    </w:p>
    <w:p w:rsidR="006D04C4" w:rsidRPr="00B73D8F" w:rsidRDefault="006D6C97" w:rsidP="006D04C4">
      <w:pPr>
        <w:rPr>
          <w:i/>
          <w:noProof/>
          <w:highlight w:val="yellow"/>
        </w:rPr>
      </w:pPr>
      <w:r>
        <w:rPr>
          <w:noProof/>
        </w:rPr>
        <w:drawing>
          <wp:inline distT="0" distB="0" distL="0" distR="0" wp14:anchorId="3DAB614E" wp14:editId="19ED9995">
            <wp:extent cx="6120765" cy="3707765"/>
            <wp:effectExtent l="0" t="0" r="0" b="6985"/>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04C4" w:rsidRPr="00B73D8F" w:rsidRDefault="006D04C4" w:rsidP="006D04C4">
      <w:pPr>
        <w:rPr>
          <w:i/>
          <w:sz w:val="18"/>
          <w:szCs w:val="18"/>
        </w:rPr>
      </w:pPr>
      <w:r w:rsidRPr="00B73D8F">
        <w:rPr>
          <w:i/>
          <w:noProof/>
          <w:sz w:val="18"/>
          <w:szCs w:val="18"/>
        </w:rPr>
        <w:t>Kilde: DemoGrafix og egne beregninger.</w:t>
      </w:r>
    </w:p>
    <w:p w:rsidR="006D04C4" w:rsidRPr="00BD71B5" w:rsidRDefault="006D04C4" w:rsidP="006D04C4">
      <w:pPr>
        <w:pStyle w:val="Overskrift3"/>
        <w:numPr>
          <w:ilvl w:val="2"/>
          <w:numId w:val="5"/>
        </w:numPr>
        <w:tabs>
          <w:tab w:val="clear" w:pos="720"/>
        </w:tabs>
      </w:pPr>
      <w:bookmarkStart w:id="24" w:name="_Toc6400702"/>
      <w:bookmarkStart w:id="25" w:name="_Toc38361234"/>
      <w:r w:rsidRPr="00BD71B5">
        <w:t>Tilflytningsprofiler</w:t>
      </w:r>
      <w:bookmarkEnd w:id="24"/>
      <w:bookmarkEnd w:id="25"/>
    </w:p>
    <w:p w:rsidR="006D04C4" w:rsidRPr="00BD71B5" w:rsidRDefault="006D04C4" w:rsidP="006D04C4">
      <w:r w:rsidRPr="00BD71B5">
        <w:t>Kommunens forventede fremtidige boligbyggeri fordelt på delområder indgår som en særskilt forudsætning i fremskrivningen af befolkningstallet.</w:t>
      </w:r>
    </w:p>
    <w:p w:rsidR="006D04C4" w:rsidRPr="00BD71B5" w:rsidRDefault="006D04C4" w:rsidP="006D04C4"/>
    <w:p w:rsidR="006D04C4" w:rsidRPr="00BD71B5" w:rsidRDefault="006D04C4" w:rsidP="006D04C4">
      <w:r w:rsidRPr="00BD71B5">
        <w:t>Antallet af tilflyttere til de nye boliger beregnes på basis af aldersfordelte husstandsstørrelser for de enkelte boligtyper. Den aldersfordelte hustandsstørrelse angiver, hvor mange personer der kan forventes at være i hver aldersklasse pr. ny bolig.</w:t>
      </w:r>
    </w:p>
    <w:p w:rsidR="006D04C4" w:rsidRPr="00BD71B5" w:rsidRDefault="006D04C4" w:rsidP="006D04C4"/>
    <w:p w:rsidR="006D04C4" w:rsidRPr="00BD71B5" w:rsidRDefault="006D04C4" w:rsidP="006D04C4">
      <w:r w:rsidRPr="00BD71B5">
        <w:t xml:space="preserve">Tabel </w:t>
      </w:r>
      <w:r w:rsidR="001E013A">
        <w:t>3</w:t>
      </w:r>
      <w:r>
        <w:t xml:space="preserve"> </w:t>
      </w:r>
      <w:r w:rsidRPr="00BD71B5">
        <w:t>herunder viser antallet af tilflyttere til forskellige boligtyper.</w:t>
      </w:r>
    </w:p>
    <w:p w:rsidR="006D04C4" w:rsidRPr="00BD71B5" w:rsidRDefault="006D04C4" w:rsidP="006D04C4"/>
    <w:p w:rsidR="006D04C4" w:rsidRPr="00BA20C9" w:rsidRDefault="006D04C4" w:rsidP="006D04C4">
      <w:pPr>
        <w:pStyle w:val="Billedtekst"/>
      </w:pPr>
      <w:r w:rsidRPr="00B73D8F">
        <w:rPr>
          <w:rFonts w:ascii="Arial" w:hAnsi="Arial" w:cs="Arial"/>
          <w:b/>
        </w:rPr>
        <w:t xml:space="preserve">Tabel </w:t>
      </w:r>
      <w:r w:rsidR="001E013A">
        <w:rPr>
          <w:rFonts w:ascii="Arial" w:hAnsi="Arial" w:cs="Arial"/>
          <w:b/>
        </w:rPr>
        <w:t>3</w:t>
      </w:r>
      <w:r w:rsidRPr="00B73D8F">
        <w:rPr>
          <w:rFonts w:ascii="Arial" w:hAnsi="Arial" w:cs="Arial"/>
          <w:b/>
        </w:rPr>
        <w:t>.</w:t>
      </w:r>
      <w:r w:rsidRPr="00B73D8F">
        <w:rPr>
          <w:rFonts w:ascii="Arial" w:hAnsi="Arial" w:cs="Arial"/>
        </w:rPr>
        <w:t xml:space="preserve"> Antal tilflyttere til forskellige boligtyper</w:t>
      </w:r>
      <w:r w:rsidRPr="00BA20C9">
        <w:t>.</w:t>
      </w:r>
    </w:p>
    <w:tbl>
      <w:tblPr>
        <w:tblW w:w="5000" w:type="pct"/>
        <w:tblCellMar>
          <w:left w:w="70" w:type="dxa"/>
          <w:right w:w="70" w:type="dxa"/>
        </w:tblCellMar>
        <w:tblLook w:val="04A0" w:firstRow="1" w:lastRow="0" w:firstColumn="1" w:lastColumn="0" w:noHBand="0" w:noVBand="1"/>
      </w:tblPr>
      <w:tblGrid>
        <w:gridCol w:w="5220"/>
        <w:gridCol w:w="4419"/>
      </w:tblGrid>
      <w:tr w:rsidR="006D04C4" w:rsidRPr="00BC709E" w:rsidTr="00BC709E">
        <w:trPr>
          <w:trHeight w:val="300"/>
        </w:trPr>
        <w:tc>
          <w:tcPr>
            <w:tcW w:w="2708" w:type="pct"/>
            <w:tcBorders>
              <w:top w:val="single" w:sz="4" w:space="0" w:color="auto"/>
              <w:left w:val="nil"/>
              <w:bottom w:val="single" w:sz="4" w:space="0" w:color="auto"/>
              <w:right w:val="nil"/>
            </w:tcBorders>
            <w:shd w:val="clear" w:color="auto" w:fill="auto"/>
            <w:noWrap/>
            <w:vAlign w:val="center"/>
            <w:hideMark/>
          </w:tcPr>
          <w:p w:rsidR="006D04C4" w:rsidRPr="00BC709E" w:rsidRDefault="006D04C4" w:rsidP="001D67AB">
            <w:pPr>
              <w:rPr>
                <w:rFonts w:cs="Arial"/>
                <w:b/>
                <w:bCs/>
                <w:color w:val="000000"/>
                <w:sz w:val="18"/>
                <w:szCs w:val="18"/>
              </w:rPr>
            </w:pPr>
            <w:r w:rsidRPr="00BC709E">
              <w:rPr>
                <w:rFonts w:cs="Arial"/>
                <w:b/>
                <w:bCs/>
                <w:color w:val="000000"/>
                <w:sz w:val="18"/>
                <w:szCs w:val="18"/>
              </w:rPr>
              <w:t>Boligtype</w:t>
            </w:r>
          </w:p>
        </w:tc>
        <w:tc>
          <w:tcPr>
            <w:tcW w:w="2292" w:type="pct"/>
            <w:tcBorders>
              <w:top w:val="single" w:sz="4" w:space="0" w:color="auto"/>
              <w:left w:val="single" w:sz="4" w:space="0" w:color="auto"/>
              <w:bottom w:val="single" w:sz="4" w:space="0" w:color="auto"/>
              <w:right w:val="nil"/>
            </w:tcBorders>
            <w:shd w:val="clear" w:color="auto" w:fill="auto"/>
            <w:noWrap/>
            <w:vAlign w:val="center"/>
            <w:hideMark/>
          </w:tcPr>
          <w:p w:rsidR="006D04C4" w:rsidRPr="00BC709E" w:rsidRDefault="006D04C4" w:rsidP="001D67AB">
            <w:pPr>
              <w:rPr>
                <w:rFonts w:cs="Arial"/>
                <w:b/>
                <w:bCs/>
                <w:color w:val="000000"/>
                <w:sz w:val="18"/>
                <w:szCs w:val="18"/>
              </w:rPr>
            </w:pPr>
            <w:r w:rsidRPr="00BC709E">
              <w:rPr>
                <w:rFonts w:cs="Arial"/>
                <w:b/>
                <w:bCs/>
                <w:color w:val="000000"/>
                <w:sz w:val="18"/>
                <w:szCs w:val="18"/>
              </w:rPr>
              <w:t>Antal tilflyttere pr. bolig</w:t>
            </w:r>
          </w:p>
        </w:tc>
      </w:tr>
      <w:tr w:rsidR="006D04C4" w:rsidRPr="00BC709E" w:rsidTr="00BC709E">
        <w:trPr>
          <w:trHeight w:val="300"/>
        </w:trPr>
        <w:tc>
          <w:tcPr>
            <w:tcW w:w="2708" w:type="pct"/>
            <w:tcBorders>
              <w:top w:val="nil"/>
              <w:left w:val="nil"/>
              <w:bottom w:val="nil"/>
              <w:right w:val="nil"/>
            </w:tcBorders>
            <w:shd w:val="clear" w:color="auto" w:fill="auto"/>
            <w:noWrap/>
            <w:vAlign w:val="center"/>
            <w:hideMark/>
          </w:tcPr>
          <w:p w:rsidR="006D04C4" w:rsidRPr="00BC709E" w:rsidRDefault="006D04C4" w:rsidP="001D67AB">
            <w:pPr>
              <w:rPr>
                <w:rFonts w:cs="Arial"/>
                <w:color w:val="000000"/>
                <w:sz w:val="18"/>
                <w:szCs w:val="18"/>
              </w:rPr>
            </w:pPr>
            <w:r w:rsidRPr="00BC709E">
              <w:rPr>
                <w:rFonts w:cs="Arial"/>
                <w:color w:val="000000"/>
                <w:sz w:val="18"/>
                <w:szCs w:val="18"/>
              </w:rPr>
              <w:t>Parcel</w:t>
            </w:r>
          </w:p>
        </w:tc>
        <w:tc>
          <w:tcPr>
            <w:tcW w:w="2292" w:type="pct"/>
            <w:tcBorders>
              <w:top w:val="nil"/>
              <w:left w:val="single" w:sz="4" w:space="0" w:color="auto"/>
              <w:bottom w:val="nil"/>
              <w:right w:val="nil"/>
            </w:tcBorders>
            <w:shd w:val="clear" w:color="auto" w:fill="auto"/>
            <w:noWrap/>
            <w:vAlign w:val="center"/>
            <w:hideMark/>
          </w:tcPr>
          <w:p w:rsidR="006D04C4" w:rsidRPr="007B0FB3" w:rsidRDefault="006D04C4" w:rsidP="001D67AB">
            <w:pPr>
              <w:rPr>
                <w:rFonts w:cs="Arial"/>
                <w:color w:val="000000"/>
                <w:sz w:val="18"/>
                <w:szCs w:val="18"/>
              </w:rPr>
            </w:pPr>
            <w:r w:rsidRPr="007B0FB3">
              <w:rPr>
                <w:rFonts w:cs="Arial"/>
                <w:color w:val="000000"/>
                <w:sz w:val="18"/>
                <w:szCs w:val="18"/>
              </w:rPr>
              <w:t>3,11</w:t>
            </w:r>
          </w:p>
        </w:tc>
      </w:tr>
      <w:tr w:rsidR="006D04C4" w:rsidRPr="00BC709E" w:rsidTr="00BC709E">
        <w:trPr>
          <w:trHeight w:val="300"/>
        </w:trPr>
        <w:tc>
          <w:tcPr>
            <w:tcW w:w="2708" w:type="pct"/>
            <w:tcBorders>
              <w:top w:val="nil"/>
              <w:left w:val="nil"/>
              <w:bottom w:val="nil"/>
              <w:right w:val="nil"/>
            </w:tcBorders>
            <w:shd w:val="clear" w:color="auto" w:fill="auto"/>
            <w:noWrap/>
            <w:vAlign w:val="center"/>
            <w:hideMark/>
          </w:tcPr>
          <w:p w:rsidR="006D04C4" w:rsidRPr="00BC709E" w:rsidRDefault="006D04C4" w:rsidP="001D67AB">
            <w:pPr>
              <w:rPr>
                <w:rFonts w:cs="Arial"/>
                <w:color w:val="000000"/>
                <w:sz w:val="18"/>
                <w:szCs w:val="18"/>
              </w:rPr>
            </w:pPr>
            <w:r w:rsidRPr="00BC709E">
              <w:rPr>
                <w:rFonts w:cs="Arial"/>
                <w:color w:val="000000"/>
                <w:sz w:val="18"/>
                <w:szCs w:val="18"/>
              </w:rPr>
              <w:t>Række</w:t>
            </w:r>
          </w:p>
        </w:tc>
        <w:tc>
          <w:tcPr>
            <w:tcW w:w="2292" w:type="pct"/>
            <w:tcBorders>
              <w:top w:val="nil"/>
              <w:left w:val="single" w:sz="4" w:space="0" w:color="auto"/>
              <w:bottom w:val="nil"/>
              <w:right w:val="nil"/>
            </w:tcBorders>
            <w:shd w:val="clear" w:color="auto" w:fill="auto"/>
            <w:noWrap/>
            <w:vAlign w:val="center"/>
            <w:hideMark/>
          </w:tcPr>
          <w:p w:rsidR="006D04C4" w:rsidRPr="007B0FB3" w:rsidRDefault="006D04C4" w:rsidP="001D67AB">
            <w:pPr>
              <w:rPr>
                <w:rFonts w:cs="Arial"/>
                <w:color w:val="000000"/>
                <w:sz w:val="18"/>
                <w:szCs w:val="18"/>
              </w:rPr>
            </w:pPr>
            <w:r w:rsidRPr="007B0FB3">
              <w:rPr>
                <w:rFonts w:cs="Arial"/>
                <w:color w:val="000000"/>
                <w:sz w:val="18"/>
                <w:szCs w:val="18"/>
              </w:rPr>
              <w:t>2,35</w:t>
            </w:r>
          </w:p>
        </w:tc>
      </w:tr>
      <w:tr w:rsidR="006D04C4" w:rsidRPr="00BC709E" w:rsidTr="00BC709E">
        <w:trPr>
          <w:trHeight w:val="300"/>
        </w:trPr>
        <w:tc>
          <w:tcPr>
            <w:tcW w:w="2708" w:type="pct"/>
            <w:tcBorders>
              <w:top w:val="nil"/>
              <w:left w:val="nil"/>
              <w:bottom w:val="nil"/>
              <w:right w:val="nil"/>
            </w:tcBorders>
            <w:shd w:val="clear" w:color="auto" w:fill="auto"/>
            <w:noWrap/>
            <w:vAlign w:val="center"/>
            <w:hideMark/>
          </w:tcPr>
          <w:p w:rsidR="006D04C4" w:rsidRPr="00BC709E" w:rsidRDefault="006D04C4" w:rsidP="001D67AB">
            <w:pPr>
              <w:rPr>
                <w:rFonts w:cs="Arial"/>
                <w:color w:val="000000"/>
                <w:sz w:val="18"/>
                <w:szCs w:val="18"/>
              </w:rPr>
            </w:pPr>
            <w:r w:rsidRPr="00BC709E">
              <w:rPr>
                <w:rFonts w:cs="Arial"/>
                <w:color w:val="000000"/>
                <w:sz w:val="18"/>
                <w:szCs w:val="18"/>
              </w:rPr>
              <w:t>Etage</w:t>
            </w:r>
          </w:p>
        </w:tc>
        <w:tc>
          <w:tcPr>
            <w:tcW w:w="2292" w:type="pct"/>
            <w:tcBorders>
              <w:top w:val="nil"/>
              <w:left w:val="single" w:sz="4" w:space="0" w:color="auto"/>
              <w:bottom w:val="nil"/>
              <w:right w:val="nil"/>
            </w:tcBorders>
            <w:shd w:val="clear" w:color="auto" w:fill="auto"/>
            <w:noWrap/>
            <w:vAlign w:val="center"/>
            <w:hideMark/>
          </w:tcPr>
          <w:p w:rsidR="006D04C4" w:rsidRPr="007B0FB3" w:rsidRDefault="003238CB" w:rsidP="001D67AB">
            <w:pPr>
              <w:rPr>
                <w:rFonts w:cs="Arial"/>
                <w:color w:val="000000"/>
                <w:sz w:val="18"/>
                <w:szCs w:val="18"/>
              </w:rPr>
            </w:pPr>
            <w:r w:rsidRPr="007B0FB3">
              <w:rPr>
                <w:rFonts w:cs="Arial"/>
                <w:color w:val="000000"/>
                <w:sz w:val="18"/>
                <w:szCs w:val="18"/>
              </w:rPr>
              <w:t>2,31</w:t>
            </w:r>
          </w:p>
        </w:tc>
      </w:tr>
      <w:tr w:rsidR="006D04C4" w:rsidRPr="00BC709E" w:rsidTr="00BC709E">
        <w:trPr>
          <w:trHeight w:val="300"/>
        </w:trPr>
        <w:tc>
          <w:tcPr>
            <w:tcW w:w="2708" w:type="pct"/>
            <w:tcBorders>
              <w:top w:val="nil"/>
              <w:left w:val="nil"/>
              <w:bottom w:val="nil"/>
              <w:right w:val="nil"/>
            </w:tcBorders>
            <w:shd w:val="clear" w:color="auto" w:fill="auto"/>
            <w:noWrap/>
            <w:vAlign w:val="center"/>
            <w:hideMark/>
          </w:tcPr>
          <w:p w:rsidR="006D04C4" w:rsidRPr="00BC709E" w:rsidRDefault="006D04C4" w:rsidP="001D67AB">
            <w:pPr>
              <w:rPr>
                <w:rFonts w:cs="Arial"/>
                <w:color w:val="000000"/>
                <w:sz w:val="18"/>
                <w:szCs w:val="18"/>
              </w:rPr>
            </w:pPr>
            <w:r w:rsidRPr="00BC709E">
              <w:rPr>
                <w:rFonts w:cs="Arial"/>
                <w:color w:val="000000"/>
                <w:sz w:val="18"/>
                <w:szCs w:val="18"/>
              </w:rPr>
              <w:t>Kollegium</w:t>
            </w:r>
          </w:p>
        </w:tc>
        <w:tc>
          <w:tcPr>
            <w:tcW w:w="2292" w:type="pct"/>
            <w:tcBorders>
              <w:top w:val="nil"/>
              <w:left w:val="single" w:sz="4" w:space="0" w:color="auto"/>
              <w:bottom w:val="nil"/>
              <w:right w:val="nil"/>
            </w:tcBorders>
            <w:shd w:val="clear" w:color="auto" w:fill="auto"/>
            <w:noWrap/>
            <w:vAlign w:val="center"/>
            <w:hideMark/>
          </w:tcPr>
          <w:p w:rsidR="006D04C4" w:rsidRPr="007B0FB3" w:rsidRDefault="006D04C4" w:rsidP="001D67AB">
            <w:pPr>
              <w:rPr>
                <w:rFonts w:cs="Arial"/>
                <w:color w:val="000000"/>
                <w:sz w:val="18"/>
                <w:szCs w:val="18"/>
              </w:rPr>
            </w:pPr>
            <w:r w:rsidRPr="007B0FB3">
              <w:rPr>
                <w:rFonts w:cs="Arial"/>
                <w:color w:val="000000"/>
                <w:sz w:val="18"/>
                <w:szCs w:val="18"/>
              </w:rPr>
              <w:t>1,08</w:t>
            </w:r>
          </w:p>
        </w:tc>
      </w:tr>
      <w:tr w:rsidR="006D04C4" w:rsidRPr="00BC709E" w:rsidTr="00BC709E">
        <w:trPr>
          <w:trHeight w:val="300"/>
        </w:trPr>
        <w:tc>
          <w:tcPr>
            <w:tcW w:w="2708" w:type="pct"/>
            <w:tcBorders>
              <w:top w:val="nil"/>
              <w:left w:val="nil"/>
              <w:bottom w:val="single" w:sz="4" w:space="0" w:color="auto"/>
              <w:right w:val="nil"/>
            </w:tcBorders>
            <w:shd w:val="clear" w:color="auto" w:fill="auto"/>
            <w:noWrap/>
            <w:vAlign w:val="center"/>
            <w:hideMark/>
          </w:tcPr>
          <w:p w:rsidR="006D04C4" w:rsidRPr="00BC709E" w:rsidRDefault="006D04C4" w:rsidP="001D67AB">
            <w:pPr>
              <w:rPr>
                <w:rFonts w:cs="Arial"/>
                <w:color w:val="000000"/>
                <w:sz w:val="18"/>
                <w:szCs w:val="18"/>
              </w:rPr>
            </w:pPr>
            <w:r w:rsidRPr="00BC709E">
              <w:rPr>
                <w:rFonts w:cs="Arial"/>
                <w:color w:val="000000"/>
                <w:sz w:val="18"/>
                <w:szCs w:val="18"/>
              </w:rPr>
              <w:t>Ældreboliger</w:t>
            </w:r>
          </w:p>
        </w:tc>
        <w:tc>
          <w:tcPr>
            <w:tcW w:w="2292" w:type="pct"/>
            <w:tcBorders>
              <w:top w:val="nil"/>
              <w:left w:val="single" w:sz="4" w:space="0" w:color="auto"/>
              <w:bottom w:val="single" w:sz="4" w:space="0" w:color="auto"/>
              <w:right w:val="nil"/>
            </w:tcBorders>
            <w:shd w:val="clear" w:color="auto" w:fill="auto"/>
            <w:noWrap/>
            <w:vAlign w:val="center"/>
            <w:hideMark/>
          </w:tcPr>
          <w:p w:rsidR="006D04C4" w:rsidRPr="007B0FB3" w:rsidRDefault="006D04C4" w:rsidP="001D67AB">
            <w:pPr>
              <w:rPr>
                <w:rFonts w:cs="Arial"/>
                <w:color w:val="000000"/>
                <w:sz w:val="18"/>
                <w:szCs w:val="18"/>
              </w:rPr>
            </w:pPr>
            <w:r w:rsidRPr="007B0FB3">
              <w:rPr>
                <w:rFonts w:cs="Arial"/>
                <w:color w:val="000000"/>
                <w:sz w:val="18"/>
                <w:szCs w:val="18"/>
              </w:rPr>
              <w:t>1,00</w:t>
            </w:r>
          </w:p>
        </w:tc>
      </w:tr>
    </w:tbl>
    <w:p w:rsidR="006D04C4" w:rsidRPr="00BC709E" w:rsidRDefault="006D04C4" w:rsidP="006D04C4">
      <w:pPr>
        <w:rPr>
          <w:i/>
          <w:sz w:val="18"/>
          <w:szCs w:val="18"/>
        </w:rPr>
      </w:pPr>
      <w:r w:rsidRPr="00BC709E">
        <w:rPr>
          <w:i/>
          <w:sz w:val="18"/>
          <w:szCs w:val="18"/>
        </w:rPr>
        <w:t>Kilde: Demografix/COWI.</w:t>
      </w:r>
    </w:p>
    <w:p w:rsidR="006D04C4" w:rsidRPr="00BD71B5" w:rsidRDefault="006D04C4" w:rsidP="006D04C4"/>
    <w:p w:rsidR="006D04C4" w:rsidRPr="00BD71B5" w:rsidRDefault="00BC709E" w:rsidP="006D04C4">
      <w:r>
        <w:t xml:space="preserve">Figur </w:t>
      </w:r>
      <w:r w:rsidR="006D04C4">
        <w:t>4</w:t>
      </w:r>
      <w:r w:rsidR="006D04C4" w:rsidRPr="00BD71B5">
        <w:t xml:space="preserve"> nedenfor viser den forventede alderssammensætning for tilflyttere til nye boliger, defineret som aldersfordelingen blandt tilflyttere til 100 nye boliger pr. boligtype.</w:t>
      </w:r>
    </w:p>
    <w:p w:rsidR="006D04C4" w:rsidRDefault="006D04C4" w:rsidP="006D04C4">
      <w:pPr>
        <w:rPr>
          <w:highlight w:val="yellow"/>
        </w:rPr>
      </w:pPr>
    </w:p>
    <w:p w:rsidR="009F2E28" w:rsidRDefault="009F2E28" w:rsidP="006D04C4">
      <w:pPr>
        <w:rPr>
          <w:highlight w:val="yellow"/>
        </w:rPr>
      </w:pPr>
    </w:p>
    <w:p w:rsidR="009F2E28" w:rsidRPr="00D30D29" w:rsidRDefault="009F2E28" w:rsidP="006D04C4">
      <w:pPr>
        <w:rPr>
          <w:highlight w:val="yellow"/>
        </w:rPr>
      </w:pPr>
    </w:p>
    <w:p w:rsidR="006D04C4" w:rsidRPr="00BC709E" w:rsidRDefault="006D04C4" w:rsidP="006D04C4">
      <w:pPr>
        <w:pStyle w:val="Billedtekst"/>
        <w:rPr>
          <w:rFonts w:ascii="Arial" w:hAnsi="Arial" w:cs="Arial"/>
          <w:highlight w:val="yellow"/>
        </w:rPr>
      </w:pPr>
      <w:r w:rsidRPr="00BC709E">
        <w:rPr>
          <w:rFonts w:ascii="Arial" w:hAnsi="Arial" w:cs="Arial"/>
          <w:b/>
        </w:rPr>
        <w:t xml:space="preserve">Figur </w:t>
      </w:r>
      <w:r w:rsidRPr="00BC709E">
        <w:rPr>
          <w:rFonts w:ascii="Arial" w:hAnsi="Arial" w:cs="Arial"/>
          <w:b/>
        </w:rPr>
        <w:fldChar w:fldCharType="begin"/>
      </w:r>
      <w:r w:rsidRPr="00BC709E">
        <w:rPr>
          <w:rFonts w:ascii="Arial" w:hAnsi="Arial" w:cs="Arial"/>
          <w:b/>
        </w:rPr>
        <w:instrText xml:space="preserve"> SEQ Figur \* ARABIC </w:instrText>
      </w:r>
      <w:r w:rsidRPr="00BC709E">
        <w:rPr>
          <w:rFonts w:ascii="Arial" w:hAnsi="Arial" w:cs="Arial"/>
          <w:b/>
        </w:rPr>
        <w:fldChar w:fldCharType="separate"/>
      </w:r>
      <w:r w:rsidRPr="00BC709E">
        <w:rPr>
          <w:rFonts w:ascii="Arial" w:hAnsi="Arial" w:cs="Arial"/>
          <w:b/>
          <w:noProof/>
        </w:rPr>
        <w:t>4</w:t>
      </w:r>
      <w:r w:rsidRPr="00BC709E">
        <w:rPr>
          <w:rFonts w:ascii="Arial" w:hAnsi="Arial" w:cs="Arial"/>
          <w:b/>
        </w:rPr>
        <w:fldChar w:fldCharType="end"/>
      </w:r>
      <w:r w:rsidRPr="00BC709E">
        <w:rPr>
          <w:rFonts w:ascii="Arial" w:hAnsi="Arial" w:cs="Arial"/>
          <w:b/>
        </w:rPr>
        <w:t>.</w:t>
      </w:r>
      <w:r w:rsidRPr="00BC709E">
        <w:rPr>
          <w:rFonts w:ascii="Arial" w:hAnsi="Arial" w:cs="Arial"/>
        </w:rPr>
        <w:t xml:space="preserve"> Tilflytningsprofiler for forskellige boligtyper – aldersfordeling blandt tilflyttere til 100 nye boliger pr. boligtype.</w:t>
      </w:r>
    </w:p>
    <w:p w:rsidR="006D04C4" w:rsidRPr="00D30D29" w:rsidRDefault="006D04C4" w:rsidP="006D04C4">
      <w:pPr>
        <w:rPr>
          <w:noProof/>
          <w:highlight w:val="yellow"/>
        </w:rPr>
      </w:pPr>
      <w:r w:rsidRPr="00190D8E">
        <w:rPr>
          <w:noProof/>
          <w:sz w:val="18"/>
          <w:szCs w:val="18"/>
        </w:rPr>
        <w:drawing>
          <wp:inline distT="0" distB="0" distL="0" distR="0" wp14:anchorId="44997292" wp14:editId="4DCD1751">
            <wp:extent cx="6120765" cy="3406563"/>
            <wp:effectExtent l="0" t="0" r="0" b="3810"/>
            <wp:docPr id="38" name="Diagram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04C4" w:rsidRPr="00BC709E" w:rsidRDefault="006D04C4" w:rsidP="006D04C4">
      <w:pPr>
        <w:rPr>
          <w:i/>
          <w:noProof/>
          <w:sz w:val="18"/>
          <w:szCs w:val="18"/>
        </w:rPr>
      </w:pPr>
      <w:r w:rsidRPr="00BC709E">
        <w:rPr>
          <w:i/>
          <w:noProof/>
          <w:sz w:val="18"/>
          <w:szCs w:val="18"/>
        </w:rPr>
        <w:t>Kilde: DemoGrafix/COWI.</w:t>
      </w:r>
    </w:p>
    <w:p w:rsidR="006D04C4" w:rsidRPr="00D30D29" w:rsidRDefault="006D04C4" w:rsidP="006D04C4">
      <w:pPr>
        <w:rPr>
          <w:noProof/>
          <w:highlight w:val="yellow"/>
        </w:rPr>
      </w:pPr>
    </w:p>
    <w:p w:rsidR="006D04C4" w:rsidRPr="00E20EE2" w:rsidRDefault="006D04C4" w:rsidP="006D04C4">
      <w:pPr>
        <w:rPr>
          <w:noProof/>
        </w:rPr>
      </w:pPr>
      <w:r w:rsidRPr="00E20EE2">
        <w:rPr>
          <w:noProof/>
        </w:rPr>
        <w:lastRenderedPageBreak/>
        <w:t>Som det fremgår af figuren, kendetegnes parcelhuse ved, at nyindflytterne typisk er voksne i mellem ca. 30-45 år samt småbørn. Rækkehuse og etage kendetegnes ved lidt flere nyindflyttere i 20’erne og lidt færre børn, samt generelt en mere jævn profil. Der nytilflytter også lidt flere ældre i særligt rækkehusbyggeri. Ældreboliger kendetegnes i sagens natur ved, at nytilflytterne er ældre fra midt-60’</w:t>
      </w:r>
      <w:r w:rsidR="001C0331">
        <w:rPr>
          <w:noProof/>
        </w:rPr>
        <w:t xml:space="preserve">erne og opefter, mens de </w:t>
      </w:r>
      <w:r w:rsidRPr="00E20EE2">
        <w:rPr>
          <w:noProof/>
        </w:rPr>
        <w:t>yngre</w:t>
      </w:r>
      <w:r w:rsidR="001C0331">
        <w:rPr>
          <w:noProof/>
        </w:rPr>
        <w:t xml:space="preserve"> i stor stil</w:t>
      </w:r>
      <w:r w:rsidRPr="00E20EE2">
        <w:rPr>
          <w:noProof/>
        </w:rPr>
        <w:t xml:space="preserve"> flytter til</w:t>
      </w:r>
      <w:r w:rsidR="001C0331">
        <w:rPr>
          <w:noProof/>
        </w:rPr>
        <w:t xml:space="preserve"> i 18-21 årsalderen</w:t>
      </w:r>
      <w:r w:rsidRPr="00E20EE2">
        <w:rPr>
          <w:noProof/>
        </w:rPr>
        <w:t xml:space="preserve">. </w:t>
      </w:r>
    </w:p>
    <w:p w:rsidR="006D04C4" w:rsidRPr="00E20EE2" w:rsidRDefault="006D04C4" w:rsidP="006D04C4">
      <w:pPr>
        <w:pStyle w:val="Overskrift3"/>
        <w:numPr>
          <w:ilvl w:val="2"/>
          <w:numId w:val="5"/>
        </w:numPr>
        <w:tabs>
          <w:tab w:val="clear" w:pos="720"/>
        </w:tabs>
      </w:pPr>
      <w:bookmarkStart w:id="26" w:name="_Toc6400703"/>
      <w:bookmarkStart w:id="27" w:name="_Toc38361235"/>
      <w:r w:rsidRPr="00E20EE2">
        <w:t>Udtynding (tidl. forblivelsesrater)</w:t>
      </w:r>
      <w:bookmarkEnd w:id="26"/>
      <w:bookmarkEnd w:id="27"/>
    </w:p>
    <w:p w:rsidR="006D04C4" w:rsidRDefault="006D04C4" w:rsidP="006D04C4">
      <w:r w:rsidRPr="00E20EE2">
        <w:t xml:space="preserve">Udtynding – eller fortætning – i den eksisterende boligmasse (også udtrykt som forblivelsesrater) spiller en afgørende rolle for prognoseberegningen. ”Normal” kutyme inden for demografi/befolkningsfremskrivning er, at der forventes en udtynding i den eksisterende boligmasse. Dette har i nyere historie været det typiske fænomen, og udtrykker, at levestandarden i de vestlige samfund har været stigende i mange år, hvilket demografisk kommer til udtryk som et stigende ”boligforbrug” pr. borger (antal kvadratmeter pr. beboer). </w:t>
      </w:r>
    </w:p>
    <w:p w:rsidR="00BD6FA8" w:rsidRPr="00E20EE2" w:rsidRDefault="00BD6FA8" w:rsidP="006D04C4"/>
    <w:p w:rsidR="006D04C4" w:rsidRPr="00E20EE2" w:rsidRDefault="006D04C4" w:rsidP="006D04C4">
      <w:r w:rsidRPr="00E20EE2">
        <w:t>Dette kan have flere årsager, heriblandt:</w:t>
      </w:r>
    </w:p>
    <w:p w:rsidR="006D04C4" w:rsidRPr="00E20EE2" w:rsidRDefault="006D04C4" w:rsidP="006D04C4"/>
    <w:p w:rsidR="006D04C4" w:rsidRPr="00E20EE2" w:rsidRDefault="006D04C4" w:rsidP="006D04C4">
      <w:pPr>
        <w:numPr>
          <w:ilvl w:val="0"/>
          <w:numId w:val="45"/>
        </w:numPr>
        <w:jc w:val="both"/>
      </w:pPr>
      <w:r w:rsidRPr="00E20EE2">
        <w:t>Generel tendens til at flere unge bor alene og i længere tid (flere singler/enlige)</w:t>
      </w:r>
    </w:p>
    <w:p w:rsidR="006D04C4" w:rsidRPr="00E20EE2" w:rsidRDefault="006D04C4" w:rsidP="006D04C4">
      <w:pPr>
        <w:ind w:left="720"/>
      </w:pPr>
    </w:p>
    <w:p w:rsidR="006D04C4" w:rsidRPr="00E20EE2" w:rsidRDefault="006D04C4" w:rsidP="006D04C4">
      <w:pPr>
        <w:numPr>
          <w:ilvl w:val="0"/>
          <w:numId w:val="45"/>
        </w:numPr>
        <w:jc w:val="both"/>
      </w:pPr>
      <w:r w:rsidRPr="00E20EE2">
        <w:t>Generel tendens til stigende antal skilsmisser (flere singler/enlige)</w:t>
      </w:r>
    </w:p>
    <w:p w:rsidR="006D04C4" w:rsidRPr="00E20EE2" w:rsidRDefault="006D04C4" w:rsidP="006D04C4">
      <w:pPr>
        <w:ind w:left="720"/>
      </w:pPr>
    </w:p>
    <w:p w:rsidR="006D04C4" w:rsidRPr="00E20EE2" w:rsidRDefault="006D04C4" w:rsidP="006D04C4">
      <w:pPr>
        <w:numPr>
          <w:ilvl w:val="0"/>
          <w:numId w:val="45"/>
        </w:numPr>
        <w:jc w:val="both"/>
      </w:pPr>
      <w:r w:rsidRPr="00E20EE2">
        <w:t>Saneringsprogrammer og lignende, der eventuelt har medført et stigende antal sammenlægninger af mindre lejligheder til større, og/eller nedrivning af små gamle lejligheder og opførelse af nye større lejligheder</w:t>
      </w:r>
    </w:p>
    <w:p w:rsidR="006D04C4" w:rsidRPr="00E20EE2" w:rsidRDefault="006D04C4" w:rsidP="006D04C4">
      <w:pPr>
        <w:ind w:left="720"/>
      </w:pPr>
    </w:p>
    <w:p w:rsidR="006D04C4" w:rsidRPr="00E20EE2" w:rsidRDefault="006D04C4" w:rsidP="006D04C4">
      <w:pPr>
        <w:numPr>
          <w:ilvl w:val="0"/>
          <w:numId w:val="45"/>
        </w:numPr>
        <w:jc w:val="both"/>
      </w:pPr>
      <w:r w:rsidRPr="00E20EE2">
        <w:t>Virkningen af den skæve aldersfordeling med overvægt af ældre, som i stigende grad bor alene, fordi ægtefællen enten er død eller flyttet på plejehjem, mens den tilbageværende ældre borger endda også ofte formår at blive boende i egen bolig i stadigt flere år (flere singler/enlige – enker/enkemænd)</w:t>
      </w:r>
    </w:p>
    <w:p w:rsidR="006D04C4" w:rsidRPr="00E20EE2" w:rsidRDefault="006D04C4" w:rsidP="006D04C4">
      <w:pPr>
        <w:pStyle w:val="Listeafsnit"/>
      </w:pPr>
    </w:p>
    <w:p w:rsidR="006D04C4" w:rsidRPr="00E20EE2" w:rsidRDefault="006D04C4" w:rsidP="006D04C4">
      <w:r w:rsidRPr="00E20EE2">
        <w:t>Alt sammen er det muliggjort af en stigende velstand i samfundet, således at folk ikke er blevet ”tvunget” til at ”fortætte sig” i den eksisterende boligmasse på grund af f.eks. økonomisk afhængighed eller andre bånd. Dels er der løbende blevet opført nyt boligbyggeri, og dels har borgerne (herunder ikke mindst kvinder og unge) fået økonomisk mulighed for at bo alene. Angiveligt har stigningen i boligkvadratmeter været større end befolkningsvæksten.</w:t>
      </w:r>
    </w:p>
    <w:p w:rsidR="006D04C4" w:rsidRPr="00D30D29" w:rsidRDefault="006D04C4" w:rsidP="006D04C4">
      <w:pPr>
        <w:rPr>
          <w:highlight w:val="yellow"/>
        </w:rPr>
      </w:pPr>
    </w:p>
    <w:p w:rsidR="006D04C4" w:rsidRPr="00E20EE2" w:rsidRDefault="006D04C4" w:rsidP="006D04C4">
      <w:r w:rsidRPr="00E20EE2">
        <w:t xml:space="preserve">Tabel </w:t>
      </w:r>
      <w:r w:rsidR="001E013A">
        <w:t>4</w:t>
      </w:r>
      <w:r>
        <w:t xml:space="preserve"> </w:t>
      </w:r>
      <w:r w:rsidRPr="00E20EE2">
        <w:t>nedenfor viser den historiske udtynding i den eksisterende boligmasse.</w:t>
      </w:r>
    </w:p>
    <w:p w:rsidR="006D04C4" w:rsidRPr="00D30D29" w:rsidRDefault="006D04C4" w:rsidP="006D04C4">
      <w:pPr>
        <w:rPr>
          <w:highlight w:val="yellow"/>
        </w:rPr>
      </w:pPr>
    </w:p>
    <w:p w:rsidR="006D04C4" w:rsidRDefault="006D04C4" w:rsidP="006D04C4">
      <w:pPr>
        <w:pStyle w:val="Billedtekst"/>
        <w:rPr>
          <w:rFonts w:ascii="Arial" w:hAnsi="Arial" w:cs="Arial"/>
        </w:rPr>
      </w:pPr>
      <w:r w:rsidRPr="00BC709E">
        <w:rPr>
          <w:rFonts w:ascii="Arial" w:hAnsi="Arial" w:cs="Arial"/>
          <w:b/>
        </w:rPr>
        <w:t xml:space="preserve">Tabel </w:t>
      </w:r>
      <w:r w:rsidR="001E013A">
        <w:rPr>
          <w:rFonts w:ascii="Arial" w:hAnsi="Arial" w:cs="Arial"/>
          <w:b/>
        </w:rPr>
        <w:t>4</w:t>
      </w:r>
      <w:r w:rsidRPr="00BC709E">
        <w:rPr>
          <w:rFonts w:ascii="Arial" w:hAnsi="Arial" w:cs="Arial"/>
        </w:rPr>
        <w:t xml:space="preserve"> Historiske udtynd</w:t>
      </w:r>
      <w:r w:rsidR="00BD6FA8" w:rsidRPr="00BC709E">
        <w:rPr>
          <w:rFonts w:ascii="Arial" w:hAnsi="Arial" w:cs="Arial"/>
        </w:rPr>
        <w:t>ings-/forblivelsesrater for 2008-2018</w:t>
      </w:r>
      <w:r w:rsidRPr="00BC709E">
        <w:rPr>
          <w:rFonts w:ascii="Arial" w:hAnsi="Arial" w:cs="Arial"/>
        </w:rPr>
        <w:t>.</w:t>
      </w:r>
    </w:p>
    <w:p w:rsidR="00796E72" w:rsidRPr="00796E72" w:rsidRDefault="00796E72" w:rsidP="00796E72">
      <w:pPr>
        <w:rPr>
          <w:lang w:eastAsia="en-US"/>
        </w:rPr>
      </w:pPr>
    </w:p>
    <w:tbl>
      <w:tblPr>
        <w:tblW w:w="5000" w:type="pct"/>
        <w:tblCellMar>
          <w:left w:w="70" w:type="dxa"/>
          <w:right w:w="70" w:type="dxa"/>
        </w:tblCellMar>
        <w:tblLook w:val="04A0" w:firstRow="1" w:lastRow="0" w:firstColumn="1" w:lastColumn="0" w:noHBand="0" w:noVBand="1"/>
      </w:tblPr>
      <w:tblGrid>
        <w:gridCol w:w="3193"/>
        <w:gridCol w:w="586"/>
        <w:gridCol w:w="586"/>
        <w:gridCol w:w="586"/>
        <w:gridCol w:w="586"/>
        <w:gridCol w:w="586"/>
        <w:gridCol w:w="586"/>
        <w:gridCol w:w="586"/>
        <w:gridCol w:w="586"/>
        <w:gridCol w:w="586"/>
        <w:gridCol w:w="586"/>
        <w:gridCol w:w="586"/>
      </w:tblGrid>
      <w:tr w:rsidR="00796E72" w:rsidRPr="00796E72" w:rsidTr="00796E72">
        <w:trPr>
          <w:trHeight w:val="300"/>
        </w:trPr>
        <w:tc>
          <w:tcPr>
            <w:tcW w:w="5000" w:type="pct"/>
            <w:gridSpan w:val="12"/>
            <w:tcBorders>
              <w:top w:val="nil"/>
              <w:left w:val="nil"/>
              <w:bottom w:val="single" w:sz="4" w:space="0" w:color="auto"/>
              <w:right w:val="nil"/>
            </w:tcBorders>
            <w:shd w:val="clear" w:color="auto" w:fill="auto"/>
            <w:vAlign w:val="center"/>
            <w:hideMark/>
          </w:tcPr>
          <w:p w:rsidR="00796E72" w:rsidRPr="00796E72" w:rsidRDefault="00796E72" w:rsidP="00796E72">
            <w:pPr>
              <w:jc w:val="center"/>
              <w:rPr>
                <w:rFonts w:ascii="Calibri" w:hAnsi="Calibri" w:cs="Calibri"/>
                <w:b/>
                <w:bCs/>
                <w:color w:val="000000"/>
                <w:sz w:val="18"/>
                <w:szCs w:val="18"/>
              </w:rPr>
            </w:pPr>
            <w:r w:rsidRPr="00796E72">
              <w:rPr>
                <w:rFonts w:ascii="Calibri" w:hAnsi="Calibri" w:cs="Calibri"/>
                <w:b/>
                <w:bCs/>
                <w:color w:val="000000"/>
                <w:sz w:val="18"/>
                <w:szCs w:val="18"/>
              </w:rPr>
              <w:t>Historik</w:t>
            </w:r>
          </w:p>
        </w:tc>
      </w:tr>
      <w:tr w:rsidR="00796E72" w:rsidRPr="00796E72" w:rsidTr="00796E72">
        <w:trPr>
          <w:trHeight w:val="300"/>
        </w:trPr>
        <w:tc>
          <w:tcPr>
            <w:tcW w:w="1884" w:type="pct"/>
            <w:tcBorders>
              <w:top w:val="nil"/>
              <w:left w:val="nil"/>
              <w:bottom w:val="single" w:sz="4" w:space="0" w:color="auto"/>
              <w:right w:val="single" w:sz="4" w:space="0" w:color="auto"/>
            </w:tcBorders>
            <w:shd w:val="clear" w:color="auto" w:fill="auto"/>
            <w:noWrap/>
            <w:vAlign w:val="bottom"/>
            <w:hideMark/>
          </w:tcPr>
          <w:p w:rsidR="00796E72" w:rsidRPr="00796E72" w:rsidRDefault="00796E72" w:rsidP="00796E72">
            <w:pPr>
              <w:rPr>
                <w:rFonts w:ascii="Calibri" w:hAnsi="Calibri" w:cs="Calibri"/>
                <w:b/>
                <w:bCs/>
                <w:color w:val="000000"/>
                <w:sz w:val="16"/>
                <w:szCs w:val="16"/>
              </w:rPr>
            </w:pPr>
            <w:r w:rsidRPr="00796E72">
              <w:rPr>
                <w:rFonts w:ascii="Calibri" w:hAnsi="Calibri" w:cs="Calibri"/>
                <w:b/>
                <w:bCs/>
                <w:color w:val="000000"/>
                <w:sz w:val="16"/>
                <w:szCs w:val="16"/>
              </w:rPr>
              <w:t> </w:t>
            </w:r>
          </w:p>
        </w:tc>
        <w:tc>
          <w:tcPr>
            <w:tcW w:w="284"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2009</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2010</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2011</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2013</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2014</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2018</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2019</w:t>
            </w:r>
          </w:p>
        </w:tc>
      </w:tr>
      <w:tr w:rsidR="00796E72" w:rsidRPr="00796E72" w:rsidTr="00796E72">
        <w:trPr>
          <w:trHeight w:val="300"/>
        </w:trPr>
        <w:tc>
          <w:tcPr>
            <w:tcW w:w="1884" w:type="pct"/>
            <w:tcBorders>
              <w:top w:val="nil"/>
              <w:left w:val="nil"/>
              <w:bottom w:val="single" w:sz="4" w:space="0" w:color="auto"/>
              <w:right w:val="single" w:sz="4" w:space="0" w:color="auto"/>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Befolkningsudvikling</w:t>
            </w:r>
          </w:p>
        </w:tc>
        <w:tc>
          <w:tcPr>
            <w:tcW w:w="284"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33</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226</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63</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131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366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467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279</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1.274</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-1.060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-148</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-299</w:t>
            </w:r>
          </w:p>
        </w:tc>
      </w:tr>
      <w:tr w:rsidR="00796E72" w:rsidRPr="00796E72" w:rsidTr="00796E72">
        <w:trPr>
          <w:trHeight w:val="300"/>
        </w:trPr>
        <w:tc>
          <w:tcPr>
            <w:tcW w:w="1884" w:type="pct"/>
            <w:tcBorders>
              <w:top w:val="nil"/>
              <w:left w:val="nil"/>
              <w:bottom w:val="single" w:sz="4" w:space="0" w:color="auto"/>
              <w:right w:val="single" w:sz="4" w:space="0" w:color="auto"/>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Tilflytninger til nye boliger</w:t>
            </w:r>
          </w:p>
        </w:tc>
        <w:tc>
          <w:tcPr>
            <w:tcW w:w="284"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52</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96</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4</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96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4</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55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w:t>
            </w:r>
          </w:p>
        </w:tc>
      </w:tr>
      <w:tr w:rsidR="00796E72" w:rsidRPr="00796E72" w:rsidTr="00796E72">
        <w:trPr>
          <w:trHeight w:val="300"/>
        </w:trPr>
        <w:tc>
          <w:tcPr>
            <w:tcW w:w="1884" w:type="pct"/>
            <w:tcBorders>
              <w:top w:val="nil"/>
              <w:left w:val="nil"/>
              <w:bottom w:val="nil"/>
              <w:right w:val="single" w:sz="4" w:space="0" w:color="auto"/>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Udtynding i eksisterende boligmasse, absolut</w:t>
            </w:r>
          </w:p>
        </w:tc>
        <w:tc>
          <w:tcPr>
            <w:tcW w:w="284" w:type="pct"/>
            <w:tcBorders>
              <w:top w:val="nil"/>
              <w:left w:val="single" w:sz="4" w:space="0" w:color="auto"/>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-19</w:t>
            </w:r>
          </w:p>
        </w:tc>
        <w:tc>
          <w:tcPr>
            <w:tcW w:w="284"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130</w:t>
            </w:r>
          </w:p>
        </w:tc>
        <w:tc>
          <w:tcPr>
            <w:tcW w:w="284"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59</w:t>
            </w:r>
          </w:p>
        </w:tc>
        <w:tc>
          <w:tcPr>
            <w:tcW w:w="284"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35</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362</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446</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253</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1.242</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-1.085</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-203</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-247</w:t>
            </w:r>
          </w:p>
        </w:tc>
      </w:tr>
      <w:tr w:rsidR="00796E72" w:rsidRPr="00796E72" w:rsidTr="00796E72">
        <w:trPr>
          <w:trHeight w:val="300"/>
        </w:trPr>
        <w:tc>
          <w:tcPr>
            <w:tcW w:w="1884" w:type="pct"/>
            <w:tcBorders>
              <w:top w:val="nil"/>
              <w:left w:val="nil"/>
              <w:bottom w:val="single" w:sz="4" w:space="0" w:color="auto"/>
              <w:right w:val="single" w:sz="4" w:space="0" w:color="auto"/>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Udtynding i eksisterende boligmasse, procent</w:t>
            </w:r>
          </w:p>
        </w:tc>
        <w:tc>
          <w:tcPr>
            <w:tcW w:w="284"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-0,1%</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0,4%</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0,2%</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1,3%</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w:t>
            </w:r>
          </w:p>
        </w:tc>
      </w:tr>
      <w:tr w:rsidR="00796E72" w:rsidRPr="00796E72" w:rsidTr="00796E72">
        <w:trPr>
          <w:trHeight w:val="300"/>
        </w:trPr>
        <w:tc>
          <w:tcPr>
            <w:tcW w:w="1884" w:type="pct"/>
            <w:tcBorders>
              <w:top w:val="nil"/>
              <w:left w:val="nil"/>
              <w:bottom w:val="single" w:sz="4" w:space="0" w:color="auto"/>
              <w:right w:val="single" w:sz="4" w:space="0" w:color="auto"/>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Forblivelsesrate</w:t>
            </w:r>
          </w:p>
        </w:tc>
        <w:tc>
          <w:tcPr>
            <w:tcW w:w="284"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0,9991</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1,0044</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1,0023</w:t>
            </w:r>
          </w:p>
        </w:tc>
        <w:tc>
          <w:tcPr>
            <w:tcW w:w="284"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1,0012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1,0106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1,0129</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1,0072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1,0069</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0,9976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0,9943</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0,9913</w:t>
            </w:r>
          </w:p>
        </w:tc>
      </w:tr>
    </w:tbl>
    <w:p w:rsidR="00796E72" w:rsidRDefault="00796E72" w:rsidP="006D04C4">
      <w:pPr>
        <w:rPr>
          <w:i/>
          <w:sz w:val="16"/>
          <w:szCs w:val="16"/>
        </w:rPr>
      </w:pPr>
    </w:p>
    <w:p w:rsidR="006D04C4" w:rsidRPr="00BC709E" w:rsidRDefault="006D04C4" w:rsidP="006D04C4">
      <w:pPr>
        <w:rPr>
          <w:i/>
          <w:sz w:val="16"/>
          <w:szCs w:val="16"/>
        </w:rPr>
      </w:pPr>
      <w:r w:rsidRPr="00BC709E">
        <w:rPr>
          <w:i/>
          <w:sz w:val="16"/>
          <w:szCs w:val="16"/>
        </w:rPr>
        <w:t>Kilde: DemoGrafix og egne beregninger.</w:t>
      </w:r>
    </w:p>
    <w:p w:rsidR="006D04C4" w:rsidRPr="00D30D29" w:rsidRDefault="006D04C4" w:rsidP="006D04C4">
      <w:pPr>
        <w:rPr>
          <w:highlight w:val="yellow"/>
        </w:rPr>
      </w:pPr>
    </w:p>
    <w:p w:rsidR="006D04C4" w:rsidRPr="00CC6C36" w:rsidRDefault="006D04C4" w:rsidP="006D04C4">
      <w:r w:rsidRPr="00CC6C36">
        <w:t xml:space="preserve">Som det fremgår af tabellen, har Brøndby Kommune i de senere år – i lighed med en række hovedstads- og storbykommuner i øvrigt – oplevet en ”unormal” fortætning i den eksisterende boligmasse i de seneste fem år fra 2010-2016. I årene forinden var billedet udtynding, og det gælder i øvrigt også årene før 2006. </w:t>
      </w:r>
      <w:r>
        <w:t>I 2017 vender udviklingen igen og det tyder på at der i årene frem vil være tendens til at der ønskes flere m2 pr. person.</w:t>
      </w:r>
    </w:p>
    <w:p w:rsidR="006D04C4" w:rsidRPr="00D30D29" w:rsidRDefault="006D04C4" w:rsidP="006D04C4">
      <w:pPr>
        <w:rPr>
          <w:highlight w:val="yellow"/>
        </w:rPr>
      </w:pPr>
    </w:p>
    <w:p w:rsidR="006D04C4" w:rsidRPr="00CC6C36" w:rsidRDefault="006D04C4" w:rsidP="006D04C4">
      <w:r w:rsidRPr="00CC6C36">
        <w:t>Årsagen til, at udtynding er vendt til fortætning i den eksisterende boligmasse</w:t>
      </w:r>
      <w:r>
        <w:t xml:space="preserve"> i 2010-2016</w:t>
      </w:r>
      <w:r w:rsidRPr="00CC6C36">
        <w:t>, skal formentlig findes i den økonomiske krise, uden at det dog er muligt at opstille nogle egentlige statistiske kausalitetssammenhænge. Det forekommer dog at være en sandsynlig hypotese/formodning, at krisen på ejerboligmarkedet sammen med en opstramning af bankernes kreditvurdering og en generelt mindre risikovillighed hos forbrugerne medfører, at folk bliver boende i nuværende bolig, til trods for f.eks. familieforøgelse, jobskifte eller lignende større ændringer i tilværelsen. Ligeledes kan krisen måske give anledning til, at man af økonomiske årsager ikke lader sig separere/indgå skilsmisse så hurtigt som ellers. Endvidere kunne det tænkes, at lejeboligmarkedet, med dets stabile økonomi og lave risiko for tab – i en ellers usikker tid – er blevet mere populært som ”sikker base” i en årrække.</w:t>
      </w:r>
    </w:p>
    <w:p w:rsidR="002C0470" w:rsidRPr="00BD6FA8" w:rsidRDefault="002C0470" w:rsidP="00BD6FA8">
      <w:pPr>
        <w:rPr>
          <w:sz w:val="20"/>
          <w:szCs w:val="20"/>
        </w:rPr>
      </w:pPr>
    </w:p>
    <w:p w:rsidR="006D04C4" w:rsidRDefault="006D04C4" w:rsidP="006D04C4">
      <w:pPr>
        <w:pStyle w:val="Billedtekst"/>
        <w:rPr>
          <w:rFonts w:ascii="Arial" w:hAnsi="Arial" w:cs="Arial"/>
        </w:rPr>
      </w:pPr>
      <w:r w:rsidRPr="00BC709E">
        <w:rPr>
          <w:rFonts w:ascii="Arial" w:hAnsi="Arial" w:cs="Arial"/>
          <w:b/>
        </w:rPr>
        <w:t xml:space="preserve">Tabel </w:t>
      </w:r>
      <w:r w:rsidR="001E013A">
        <w:rPr>
          <w:rFonts w:ascii="Arial" w:hAnsi="Arial" w:cs="Arial"/>
          <w:b/>
        </w:rPr>
        <w:t>5</w:t>
      </w:r>
      <w:r w:rsidRPr="00BC709E">
        <w:rPr>
          <w:rFonts w:ascii="Arial" w:hAnsi="Arial" w:cs="Arial"/>
          <w:b/>
        </w:rPr>
        <w:t>.</w:t>
      </w:r>
      <w:r w:rsidRPr="00BC709E">
        <w:rPr>
          <w:rFonts w:ascii="Arial" w:hAnsi="Arial" w:cs="Arial"/>
        </w:rPr>
        <w:t xml:space="preserve"> Fremskrevne udtynd</w:t>
      </w:r>
      <w:r w:rsidR="00BD6FA8" w:rsidRPr="00BC709E">
        <w:rPr>
          <w:rFonts w:ascii="Arial" w:hAnsi="Arial" w:cs="Arial"/>
        </w:rPr>
        <w:t>ings-/forblivelsesrater for 2019-2029</w:t>
      </w:r>
      <w:r w:rsidRPr="00BC709E">
        <w:rPr>
          <w:rFonts w:ascii="Arial" w:hAnsi="Arial" w:cs="Arial"/>
        </w:rPr>
        <w:t>.</w:t>
      </w:r>
    </w:p>
    <w:p w:rsidR="00796E72" w:rsidRPr="00796E72" w:rsidRDefault="00796E72" w:rsidP="00796E72">
      <w:pPr>
        <w:rPr>
          <w:lang w:eastAsia="en-US"/>
        </w:rPr>
      </w:pPr>
    </w:p>
    <w:tbl>
      <w:tblPr>
        <w:tblW w:w="5000" w:type="pct"/>
        <w:tblCellMar>
          <w:left w:w="70" w:type="dxa"/>
          <w:right w:w="70" w:type="dxa"/>
        </w:tblCellMar>
        <w:tblLook w:val="04A0" w:firstRow="1" w:lastRow="0" w:firstColumn="1" w:lastColumn="0" w:noHBand="0" w:noVBand="1"/>
      </w:tblPr>
      <w:tblGrid>
        <w:gridCol w:w="3193"/>
        <w:gridCol w:w="586"/>
        <w:gridCol w:w="586"/>
        <w:gridCol w:w="586"/>
        <w:gridCol w:w="586"/>
        <w:gridCol w:w="586"/>
        <w:gridCol w:w="586"/>
        <w:gridCol w:w="586"/>
        <w:gridCol w:w="586"/>
        <w:gridCol w:w="586"/>
        <w:gridCol w:w="586"/>
        <w:gridCol w:w="586"/>
      </w:tblGrid>
      <w:tr w:rsidR="00796E72" w:rsidRPr="00796E72" w:rsidTr="00796E72">
        <w:trPr>
          <w:trHeight w:val="300"/>
        </w:trPr>
        <w:tc>
          <w:tcPr>
            <w:tcW w:w="5000" w:type="pct"/>
            <w:gridSpan w:val="12"/>
            <w:tcBorders>
              <w:top w:val="nil"/>
              <w:left w:val="nil"/>
              <w:bottom w:val="single" w:sz="4" w:space="0" w:color="auto"/>
              <w:right w:val="nil"/>
            </w:tcBorders>
            <w:shd w:val="clear" w:color="auto" w:fill="auto"/>
            <w:vAlign w:val="center"/>
            <w:hideMark/>
          </w:tcPr>
          <w:p w:rsidR="00796E72" w:rsidRPr="00796E72" w:rsidRDefault="00796E72" w:rsidP="00796E72">
            <w:pPr>
              <w:jc w:val="center"/>
              <w:rPr>
                <w:rFonts w:ascii="Calibri" w:hAnsi="Calibri" w:cs="Calibri"/>
                <w:b/>
                <w:bCs/>
                <w:color w:val="000000"/>
                <w:sz w:val="18"/>
                <w:szCs w:val="18"/>
              </w:rPr>
            </w:pPr>
            <w:r w:rsidRPr="00796E72">
              <w:rPr>
                <w:rFonts w:ascii="Calibri" w:hAnsi="Calibri" w:cs="Calibri"/>
                <w:b/>
                <w:bCs/>
                <w:color w:val="000000"/>
                <w:sz w:val="18"/>
                <w:szCs w:val="18"/>
              </w:rPr>
              <w:t>Prognose</w:t>
            </w:r>
          </w:p>
        </w:tc>
      </w:tr>
      <w:tr w:rsidR="00796E72" w:rsidRPr="00796E72" w:rsidTr="00796E72">
        <w:trPr>
          <w:trHeight w:val="300"/>
        </w:trPr>
        <w:tc>
          <w:tcPr>
            <w:tcW w:w="1885" w:type="pct"/>
            <w:tcBorders>
              <w:top w:val="nil"/>
              <w:left w:val="nil"/>
              <w:bottom w:val="single" w:sz="4" w:space="0" w:color="auto"/>
              <w:right w:val="nil"/>
            </w:tcBorders>
            <w:shd w:val="clear" w:color="auto" w:fill="auto"/>
            <w:noWrap/>
            <w:vAlign w:val="bottom"/>
            <w:hideMark/>
          </w:tcPr>
          <w:p w:rsidR="00796E72" w:rsidRPr="00796E72" w:rsidRDefault="00796E72" w:rsidP="00796E72">
            <w:pPr>
              <w:rPr>
                <w:rFonts w:ascii="Calibri" w:hAnsi="Calibri" w:cs="Calibri"/>
                <w:b/>
                <w:bCs/>
                <w:color w:val="000000"/>
                <w:sz w:val="16"/>
                <w:szCs w:val="16"/>
              </w:rPr>
            </w:pPr>
            <w:r w:rsidRPr="00796E72">
              <w:rPr>
                <w:rFonts w:ascii="Calibri" w:hAnsi="Calibri" w:cs="Calibri"/>
                <w:b/>
                <w:bCs/>
                <w:color w:val="000000"/>
                <w:sz w:val="16"/>
                <w:szCs w:val="16"/>
              </w:rPr>
              <w:t> </w:t>
            </w:r>
          </w:p>
        </w:tc>
        <w:tc>
          <w:tcPr>
            <w:tcW w:w="287"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2023</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2024</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2028</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2029</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b/>
                <w:bCs/>
                <w:color w:val="000000"/>
                <w:sz w:val="16"/>
                <w:szCs w:val="16"/>
              </w:rPr>
            </w:pPr>
            <w:r w:rsidRPr="00796E72">
              <w:rPr>
                <w:rFonts w:ascii="Calibri" w:hAnsi="Calibri" w:cs="Calibri"/>
                <w:b/>
                <w:bCs/>
                <w:color w:val="000000"/>
                <w:sz w:val="16"/>
                <w:szCs w:val="16"/>
              </w:rPr>
              <w:t>2030</w:t>
            </w:r>
          </w:p>
        </w:tc>
      </w:tr>
      <w:tr w:rsidR="00796E72" w:rsidRPr="00796E72" w:rsidTr="00796E72">
        <w:trPr>
          <w:trHeight w:val="300"/>
        </w:trPr>
        <w:tc>
          <w:tcPr>
            <w:tcW w:w="1885" w:type="pct"/>
            <w:tcBorders>
              <w:top w:val="nil"/>
              <w:left w:val="nil"/>
              <w:bottom w:val="single" w:sz="4" w:space="0" w:color="auto"/>
              <w:right w:val="nil"/>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Befolkningsudvikling</w:t>
            </w:r>
          </w:p>
        </w:tc>
        <w:tc>
          <w:tcPr>
            <w:tcW w:w="287"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206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546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838</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1.267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817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289</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68</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61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-14</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-20</w:t>
            </w:r>
          </w:p>
        </w:tc>
      </w:tr>
      <w:tr w:rsidR="00796E72" w:rsidRPr="00796E72" w:rsidTr="00796E72">
        <w:trPr>
          <w:trHeight w:val="300"/>
        </w:trPr>
        <w:tc>
          <w:tcPr>
            <w:tcW w:w="1885" w:type="pct"/>
            <w:tcBorders>
              <w:top w:val="nil"/>
              <w:left w:val="nil"/>
              <w:bottom w:val="single" w:sz="4" w:space="0" w:color="auto"/>
              <w:right w:val="nil"/>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Tilflytninger til nye boliger</w:t>
            </w:r>
          </w:p>
        </w:tc>
        <w:tc>
          <w:tcPr>
            <w:tcW w:w="287"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182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767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1085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1478</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1022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463</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71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71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w:t>
            </w:r>
          </w:p>
        </w:tc>
      </w:tr>
      <w:tr w:rsidR="00796E72" w:rsidRPr="00796E72" w:rsidTr="00796E72">
        <w:trPr>
          <w:trHeight w:val="300"/>
        </w:trPr>
        <w:tc>
          <w:tcPr>
            <w:tcW w:w="1885" w:type="pct"/>
            <w:tcBorders>
              <w:top w:val="nil"/>
              <w:left w:val="nil"/>
              <w:bottom w:val="nil"/>
              <w:right w:val="nil"/>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Udtynding i eksisterende boligmasse, absolut</w:t>
            </w:r>
          </w:p>
        </w:tc>
        <w:tc>
          <w:tcPr>
            <w:tcW w:w="287" w:type="pct"/>
            <w:tcBorders>
              <w:top w:val="nil"/>
              <w:left w:val="single" w:sz="4" w:space="0" w:color="auto"/>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23</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-220</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-247</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-211</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-205</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-174</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7</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-3</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-13</w:t>
            </w:r>
          </w:p>
        </w:tc>
        <w:tc>
          <w:tcPr>
            <w:tcW w:w="283" w:type="pct"/>
            <w:tcBorders>
              <w:top w:val="nil"/>
              <w:left w:val="nil"/>
              <w:bottom w:val="nil"/>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-20</w:t>
            </w:r>
          </w:p>
        </w:tc>
      </w:tr>
      <w:tr w:rsidR="00796E72" w:rsidRPr="00796E72" w:rsidTr="00796E72">
        <w:trPr>
          <w:trHeight w:val="300"/>
        </w:trPr>
        <w:tc>
          <w:tcPr>
            <w:tcW w:w="1885" w:type="pct"/>
            <w:tcBorders>
              <w:top w:val="nil"/>
              <w:left w:val="nil"/>
              <w:bottom w:val="single" w:sz="4" w:space="0" w:color="auto"/>
              <w:right w:val="nil"/>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Udtynding i eksisterende boligmasse, procent</w:t>
            </w:r>
          </w:p>
        </w:tc>
        <w:tc>
          <w:tcPr>
            <w:tcW w:w="287"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-0,4%</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-0,1%</w:t>
            </w:r>
          </w:p>
        </w:tc>
      </w:tr>
      <w:tr w:rsidR="00796E72" w:rsidRPr="00796E72" w:rsidTr="00796E72">
        <w:trPr>
          <w:trHeight w:val="300"/>
        </w:trPr>
        <w:tc>
          <w:tcPr>
            <w:tcW w:w="1885" w:type="pct"/>
            <w:tcBorders>
              <w:top w:val="nil"/>
              <w:left w:val="nil"/>
              <w:bottom w:val="single" w:sz="4" w:space="0" w:color="auto"/>
              <w:right w:val="nil"/>
            </w:tcBorders>
            <w:shd w:val="clear" w:color="auto" w:fill="auto"/>
            <w:noWrap/>
            <w:vAlign w:val="bottom"/>
            <w:hideMark/>
          </w:tcPr>
          <w:p w:rsidR="00796E72" w:rsidRPr="00796E72" w:rsidRDefault="00796E72" w:rsidP="00796E72">
            <w:pPr>
              <w:rPr>
                <w:rFonts w:ascii="Calibri" w:hAnsi="Calibri" w:cs="Calibri"/>
                <w:color w:val="000000"/>
                <w:sz w:val="16"/>
                <w:szCs w:val="16"/>
              </w:rPr>
            </w:pPr>
            <w:r w:rsidRPr="00796E72">
              <w:rPr>
                <w:rFonts w:ascii="Calibri" w:hAnsi="Calibri" w:cs="Calibri"/>
                <w:color w:val="000000"/>
                <w:sz w:val="16"/>
                <w:szCs w:val="16"/>
              </w:rPr>
              <w:t>Forblivelsesrate</w:t>
            </w:r>
          </w:p>
        </w:tc>
        <w:tc>
          <w:tcPr>
            <w:tcW w:w="287" w:type="pct"/>
            <w:tcBorders>
              <w:top w:val="nil"/>
              <w:left w:val="single" w:sz="4" w:space="0" w:color="auto"/>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1,0007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0,9937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0,9931</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0,9942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0,9946</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0,9955</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1,0002</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0,9999</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0,9997</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1,0000</w:t>
            </w:r>
          </w:p>
        </w:tc>
        <w:tc>
          <w:tcPr>
            <w:tcW w:w="283" w:type="pct"/>
            <w:tcBorders>
              <w:top w:val="nil"/>
              <w:left w:val="nil"/>
              <w:bottom w:val="single" w:sz="4" w:space="0" w:color="auto"/>
              <w:right w:val="nil"/>
            </w:tcBorders>
            <w:shd w:val="clear" w:color="auto" w:fill="auto"/>
            <w:noWrap/>
            <w:vAlign w:val="bottom"/>
            <w:hideMark/>
          </w:tcPr>
          <w:p w:rsidR="00796E72" w:rsidRPr="00796E72" w:rsidRDefault="00796E72" w:rsidP="00796E72">
            <w:pPr>
              <w:jc w:val="right"/>
              <w:rPr>
                <w:rFonts w:ascii="Calibri" w:hAnsi="Calibri" w:cs="Calibri"/>
                <w:color w:val="000000"/>
                <w:sz w:val="16"/>
                <w:szCs w:val="16"/>
              </w:rPr>
            </w:pPr>
            <w:r w:rsidRPr="00796E72">
              <w:rPr>
                <w:rFonts w:ascii="Calibri" w:hAnsi="Calibri" w:cs="Calibri"/>
                <w:color w:val="000000"/>
                <w:sz w:val="16"/>
                <w:szCs w:val="16"/>
              </w:rPr>
              <w:t>1,0000</w:t>
            </w:r>
          </w:p>
        </w:tc>
      </w:tr>
    </w:tbl>
    <w:p w:rsidR="00796E72" w:rsidRDefault="00796E72" w:rsidP="006D04C4">
      <w:pPr>
        <w:rPr>
          <w:i/>
          <w:sz w:val="18"/>
          <w:szCs w:val="18"/>
        </w:rPr>
      </w:pPr>
    </w:p>
    <w:p w:rsidR="006D04C4" w:rsidRPr="00BC709E" w:rsidRDefault="006D04C4" w:rsidP="006D04C4">
      <w:pPr>
        <w:rPr>
          <w:i/>
          <w:sz w:val="18"/>
          <w:szCs w:val="18"/>
        </w:rPr>
      </w:pPr>
      <w:r w:rsidRPr="00BC709E">
        <w:rPr>
          <w:i/>
          <w:sz w:val="18"/>
          <w:szCs w:val="18"/>
        </w:rPr>
        <w:lastRenderedPageBreak/>
        <w:t>Kilde: DemoGrafix og egne beregninger.</w:t>
      </w:r>
    </w:p>
    <w:p w:rsidR="006D04C4" w:rsidRPr="00CC6C36" w:rsidRDefault="006D04C4" w:rsidP="006D04C4">
      <w:pPr>
        <w:rPr>
          <w:rFonts w:ascii="Calibri" w:hAnsi="Calibri" w:cs="Calibri"/>
          <w:sz w:val="18"/>
          <w:szCs w:val="18"/>
        </w:rPr>
      </w:pPr>
    </w:p>
    <w:p w:rsidR="006D04C4" w:rsidRPr="00CC6C36" w:rsidRDefault="006D04C4" w:rsidP="006D04C4">
      <w:r w:rsidRPr="00CC6C36">
        <w:t>Som det fremgår af tabellen, forventes</w:t>
      </w:r>
      <w:r>
        <w:t xml:space="preserve"> der </w:t>
      </w:r>
      <w:r w:rsidR="00BD6FA8">
        <w:t>i hele prognoseperioden en udtynding, hvilket betyder flere m2. p. person</w:t>
      </w:r>
      <w:r w:rsidRPr="00CC6C36">
        <w:t>.</w:t>
      </w:r>
      <w:r>
        <w:t xml:space="preserve"> De økonomiske konjunkturer peger også i denne retning da der officielt ikke længere er økonomisk krise, såfremt ovenstående hypotese kan tages for givet.</w:t>
      </w:r>
    </w:p>
    <w:p w:rsidR="006D04C4" w:rsidRPr="00D30D29" w:rsidRDefault="006D04C4" w:rsidP="006D04C4">
      <w:pPr>
        <w:rPr>
          <w:highlight w:val="yellow"/>
        </w:rPr>
      </w:pPr>
    </w:p>
    <w:p w:rsidR="006D04C4" w:rsidRPr="00CC6C36" w:rsidRDefault="00BC709E" w:rsidP="006D04C4">
      <w:r>
        <w:t xml:space="preserve">Figur </w:t>
      </w:r>
      <w:r w:rsidR="006D04C4">
        <w:t>5</w:t>
      </w:r>
      <w:r w:rsidR="006D04C4" w:rsidRPr="00CC6C36">
        <w:t xml:space="preserve"> nedenfor giver en grafisk illustration af det historiske forløb for ”forblivelsesrater” sammenholdt med prognosens forventning for fremtiden.</w:t>
      </w:r>
    </w:p>
    <w:p w:rsidR="006D04C4" w:rsidRPr="00D30D29" w:rsidRDefault="006D04C4" w:rsidP="006D04C4">
      <w:pPr>
        <w:rPr>
          <w:highlight w:val="yellow"/>
        </w:rPr>
      </w:pPr>
    </w:p>
    <w:p w:rsidR="006D04C4" w:rsidRPr="00BC709E" w:rsidRDefault="006D04C4" w:rsidP="006D04C4">
      <w:pPr>
        <w:pStyle w:val="Billedtekst"/>
        <w:rPr>
          <w:rFonts w:ascii="Arial" w:hAnsi="Arial" w:cs="Arial"/>
        </w:rPr>
      </w:pPr>
      <w:r w:rsidRPr="00BC709E">
        <w:rPr>
          <w:rFonts w:ascii="Arial" w:hAnsi="Arial" w:cs="Arial"/>
          <w:b/>
        </w:rPr>
        <w:t xml:space="preserve">Figur </w:t>
      </w:r>
      <w:r w:rsidRPr="00BC709E">
        <w:rPr>
          <w:rFonts w:ascii="Arial" w:hAnsi="Arial" w:cs="Arial"/>
          <w:b/>
        </w:rPr>
        <w:fldChar w:fldCharType="begin"/>
      </w:r>
      <w:r w:rsidRPr="00BC709E">
        <w:rPr>
          <w:rFonts w:ascii="Arial" w:hAnsi="Arial" w:cs="Arial"/>
          <w:b/>
        </w:rPr>
        <w:instrText xml:space="preserve"> SEQ Figur \* ARABIC </w:instrText>
      </w:r>
      <w:r w:rsidRPr="00BC709E">
        <w:rPr>
          <w:rFonts w:ascii="Arial" w:hAnsi="Arial" w:cs="Arial"/>
          <w:b/>
        </w:rPr>
        <w:fldChar w:fldCharType="separate"/>
      </w:r>
      <w:r w:rsidRPr="00BC709E">
        <w:rPr>
          <w:rFonts w:ascii="Arial" w:hAnsi="Arial" w:cs="Arial"/>
          <w:b/>
          <w:noProof/>
        </w:rPr>
        <w:t>5</w:t>
      </w:r>
      <w:r w:rsidRPr="00BC709E">
        <w:rPr>
          <w:rFonts w:ascii="Arial" w:hAnsi="Arial" w:cs="Arial"/>
          <w:b/>
        </w:rPr>
        <w:fldChar w:fldCharType="end"/>
      </w:r>
      <w:r w:rsidRPr="00BC709E">
        <w:rPr>
          <w:rFonts w:ascii="Arial" w:hAnsi="Arial" w:cs="Arial"/>
          <w:b/>
        </w:rPr>
        <w:t>.</w:t>
      </w:r>
      <w:r w:rsidRPr="00BC709E">
        <w:rPr>
          <w:rFonts w:ascii="Arial" w:hAnsi="Arial" w:cs="Arial"/>
        </w:rPr>
        <w:t xml:space="preserve"> Historik (stiplede linje) og fremskrivning for forblivelsesrater.</w:t>
      </w:r>
      <w:r w:rsidR="00F367C8">
        <w:rPr>
          <w:rFonts w:ascii="Arial" w:hAnsi="Arial" w:cs="Arial"/>
        </w:rPr>
        <w:t xml:space="preserve"> </w:t>
      </w:r>
    </w:p>
    <w:p w:rsidR="00600EC9" w:rsidRDefault="00137BCC" w:rsidP="006D04C4">
      <w:pPr>
        <w:rPr>
          <w:i/>
          <w:sz w:val="18"/>
          <w:szCs w:val="18"/>
        </w:rPr>
      </w:pPr>
      <w:r>
        <w:rPr>
          <w:noProof/>
        </w:rPr>
        <w:drawing>
          <wp:inline distT="0" distB="0" distL="0" distR="0" wp14:anchorId="3B20D311" wp14:editId="5342AA22">
            <wp:extent cx="6120765" cy="3026410"/>
            <wp:effectExtent l="0" t="0" r="0" b="254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D04C4" w:rsidRPr="00BC709E" w:rsidRDefault="006D04C4" w:rsidP="006D04C4">
      <w:pPr>
        <w:rPr>
          <w:i/>
          <w:sz w:val="18"/>
          <w:szCs w:val="18"/>
        </w:rPr>
      </w:pPr>
      <w:r w:rsidRPr="00BC709E">
        <w:rPr>
          <w:i/>
          <w:sz w:val="18"/>
          <w:szCs w:val="18"/>
        </w:rPr>
        <w:t>Kilde: DemoGrafix og egne beregninger.</w:t>
      </w:r>
    </w:p>
    <w:p w:rsidR="006D04C4" w:rsidRPr="00D30D29" w:rsidRDefault="006D04C4" w:rsidP="006D04C4">
      <w:pPr>
        <w:rPr>
          <w:rFonts w:ascii="Calibri" w:hAnsi="Calibri" w:cs="Calibri"/>
          <w:sz w:val="18"/>
          <w:szCs w:val="18"/>
          <w:highlight w:val="yellow"/>
        </w:rPr>
      </w:pPr>
    </w:p>
    <w:p w:rsidR="006D04C4" w:rsidRPr="00196D75" w:rsidRDefault="006D04C4" w:rsidP="006D04C4">
      <w:pPr>
        <w:pStyle w:val="Overskrift3"/>
        <w:numPr>
          <w:ilvl w:val="2"/>
          <w:numId w:val="5"/>
        </w:numPr>
        <w:tabs>
          <w:tab w:val="clear" w:pos="720"/>
        </w:tabs>
      </w:pPr>
      <w:bookmarkStart w:id="28" w:name="_Toc6400704"/>
      <w:bookmarkStart w:id="29" w:name="_Toc38361236"/>
      <w:r w:rsidRPr="00196D75">
        <w:t>Til- og fraflytning</w:t>
      </w:r>
      <w:bookmarkEnd w:id="28"/>
      <w:bookmarkEnd w:id="29"/>
    </w:p>
    <w:p w:rsidR="006D04C4" w:rsidRDefault="006D04C4" w:rsidP="006D04C4">
      <w:r w:rsidRPr="00196D75">
        <w:t>Til- og fraflytninger er indirekte konsekvenser af borgernes livscyklus og behov – og i statistisk sammenhæng styres de af udtyndingen (fordelt på aldersgrupper), antallet og typen af nyopførte boliger samt tilflytningsprofilen (fordelt på aldersgrupper) til de nye boliger – efter type.</w:t>
      </w:r>
    </w:p>
    <w:p w:rsidR="006D04C4" w:rsidRDefault="006D04C4" w:rsidP="006D04C4"/>
    <w:p w:rsidR="00993304" w:rsidRDefault="00BC709E" w:rsidP="006D04C4">
      <w:pPr>
        <w:rPr>
          <w:noProof/>
        </w:rPr>
      </w:pPr>
      <w:r>
        <w:rPr>
          <w:noProof/>
        </w:rPr>
        <w:t xml:space="preserve">Som det fremgår af figur </w:t>
      </w:r>
      <w:r w:rsidR="006D04C4">
        <w:rPr>
          <w:noProof/>
        </w:rPr>
        <w:t>6</w:t>
      </w:r>
      <w:r w:rsidR="006D04C4" w:rsidRPr="00614EE2">
        <w:rPr>
          <w:noProof/>
        </w:rPr>
        <w:t>, har flyttebalancen være positiv i de senere år. Det er forventningen, at den positive tendens fortsætter i prognosens første periode, mens der ventes en svagt negativ balance i prognosens sidste periode – dog tæt på neutral.</w:t>
      </w:r>
    </w:p>
    <w:p w:rsidR="00993304" w:rsidRDefault="00993304"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BC709E" w:rsidRDefault="00BC709E" w:rsidP="006D04C4"/>
    <w:p w:rsidR="006D04C4" w:rsidRPr="00FB53E1" w:rsidRDefault="006D04C4" w:rsidP="006D04C4">
      <w:pPr>
        <w:pStyle w:val="Billedtekst"/>
      </w:pPr>
      <w:r w:rsidRPr="00FB53E1">
        <w:rPr>
          <w:b/>
        </w:rPr>
        <w:t xml:space="preserve">Figur </w:t>
      </w:r>
      <w:r w:rsidRPr="00FB53E1">
        <w:rPr>
          <w:b/>
        </w:rPr>
        <w:fldChar w:fldCharType="begin"/>
      </w:r>
      <w:r w:rsidRPr="00FB53E1">
        <w:rPr>
          <w:b/>
        </w:rPr>
        <w:instrText xml:space="preserve"> SEQ Figur \* ARABIC </w:instrText>
      </w:r>
      <w:r w:rsidRPr="00FB53E1">
        <w:rPr>
          <w:b/>
        </w:rPr>
        <w:fldChar w:fldCharType="separate"/>
      </w:r>
      <w:r>
        <w:rPr>
          <w:b/>
          <w:noProof/>
        </w:rPr>
        <w:t>6</w:t>
      </w:r>
      <w:r w:rsidRPr="00FB53E1">
        <w:rPr>
          <w:b/>
        </w:rPr>
        <w:fldChar w:fldCharType="end"/>
      </w:r>
      <w:r w:rsidRPr="00FB53E1">
        <w:rPr>
          <w:b/>
        </w:rPr>
        <w:t>.</w:t>
      </w:r>
      <w:r w:rsidRPr="00FB53E1">
        <w:t xml:space="preserve"> T</w:t>
      </w:r>
      <w:r w:rsidR="00993304">
        <w:t>il- og fraflytninger 2006 – 2029</w:t>
      </w:r>
      <w:r w:rsidRPr="00FB53E1">
        <w:t>, samt flyttebalance.</w:t>
      </w:r>
    </w:p>
    <w:p w:rsidR="006D04C4" w:rsidRDefault="00656445" w:rsidP="006D04C4">
      <w:r>
        <w:rPr>
          <w:noProof/>
        </w:rPr>
        <w:drawing>
          <wp:inline distT="0" distB="0" distL="0" distR="0" wp14:anchorId="739BE8EF" wp14:editId="2F4AA03B">
            <wp:extent cx="6120765" cy="3743960"/>
            <wp:effectExtent l="0" t="0" r="0" b="8890"/>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D04C4" w:rsidRPr="00BC709E" w:rsidRDefault="006D04C4" w:rsidP="006D04C4">
      <w:pPr>
        <w:rPr>
          <w:i/>
          <w:sz w:val="18"/>
          <w:szCs w:val="18"/>
        </w:rPr>
      </w:pPr>
      <w:r w:rsidRPr="00BC709E">
        <w:rPr>
          <w:i/>
          <w:sz w:val="18"/>
          <w:szCs w:val="18"/>
        </w:rPr>
        <w:t>Kilde: DemoGrafix og egne beregninger</w:t>
      </w:r>
    </w:p>
    <w:p w:rsidR="006D04C4" w:rsidRDefault="006D04C4" w:rsidP="006D04C4"/>
    <w:p w:rsidR="006D04C4" w:rsidRPr="00196D75" w:rsidRDefault="00BC709E" w:rsidP="006D04C4">
      <w:r>
        <w:t>Figur 7</w:t>
      </w:r>
      <w:r w:rsidR="006D04C4" w:rsidRPr="00196D75">
        <w:t xml:space="preserve"> nedenfor viser den historiske aldersinddelte flyttebalance for Brøndby Kommune, </w:t>
      </w:r>
      <w:r w:rsidR="00993304">
        <w:t>bereg</w:t>
      </w:r>
      <w:r w:rsidR="007B0FB3">
        <w:t>net som gennemsnit for 2010-2019</w:t>
      </w:r>
      <w:r w:rsidR="006D04C4" w:rsidRPr="00196D75">
        <w:t xml:space="preserve">. </w:t>
      </w:r>
    </w:p>
    <w:p w:rsidR="006D04C4" w:rsidRPr="00D30D29" w:rsidRDefault="006D04C4" w:rsidP="006D04C4">
      <w:pPr>
        <w:rPr>
          <w:highlight w:val="yellow"/>
        </w:rPr>
      </w:pPr>
    </w:p>
    <w:p w:rsidR="006D04C4" w:rsidRPr="00196D75" w:rsidRDefault="006D04C4" w:rsidP="006D04C4">
      <w:r w:rsidRPr="00196D75">
        <w:t>Som det fremgår af figuren, er flytteaktiviteten (mellem kommunegrænser, men formentligt også internt i kommunen) højest i de unge år – fra slutningen af teenageårene og frem til den klinger af hen imod 50’erne. Brøndby Kommune ”taber” flest borgere i de unge år mellem 18-</w:t>
      </w:r>
      <w:r w:rsidRPr="00196D75">
        <w:lastRenderedPageBreak/>
        <w:t>21 år, mens tendensen er positiv fra ca. start-20’erne til ca. slut-40’erne. Tendens til fraflytning blandt de unge er aftaget i de senere år, særligt i 2014, hvilket dog ikke fremgår direkte af figuren nedenfor. Det er også værd at bemærke den markante positive balance blandt særligt 0- og 1-årige, som formentlig hænger sammen med de positive balancer for kvinder i den fødedygtige alder.</w:t>
      </w:r>
    </w:p>
    <w:p w:rsidR="006D04C4" w:rsidRDefault="006D04C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993304" w:rsidRDefault="00993304" w:rsidP="006D04C4">
      <w:pPr>
        <w:rPr>
          <w:highlight w:val="yellow"/>
        </w:rPr>
      </w:pPr>
    </w:p>
    <w:p w:rsidR="00412CC4" w:rsidRPr="00D30D29" w:rsidRDefault="00412CC4" w:rsidP="006D04C4">
      <w:pPr>
        <w:rPr>
          <w:highlight w:val="yellow"/>
        </w:rPr>
      </w:pPr>
    </w:p>
    <w:p w:rsidR="00993304" w:rsidRPr="00BC709E" w:rsidRDefault="006D04C4" w:rsidP="00993304">
      <w:pPr>
        <w:pStyle w:val="Billedtekst"/>
        <w:rPr>
          <w:rFonts w:ascii="Arial" w:hAnsi="Arial" w:cs="Arial"/>
        </w:rPr>
      </w:pPr>
      <w:r w:rsidRPr="00BC709E">
        <w:rPr>
          <w:rFonts w:ascii="Arial" w:hAnsi="Arial" w:cs="Arial"/>
          <w:b/>
        </w:rPr>
        <w:t xml:space="preserve">Figur </w:t>
      </w:r>
      <w:r w:rsidRPr="00BC709E">
        <w:rPr>
          <w:rFonts w:ascii="Arial" w:hAnsi="Arial" w:cs="Arial"/>
          <w:b/>
        </w:rPr>
        <w:fldChar w:fldCharType="begin"/>
      </w:r>
      <w:r w:rsidRPr="00BC709E">
        <w:rPr>
          <w:rFonts w:ascii="Arial" w:hAnsi="Arial" w:cs="Arial"/>
          <w:b/>
        </w:rPr>
        <w:instrText xml:space="preserve"> SEQ Figur \* ARABIC </w:instrText>
      </w:r>
      <w:r w:rsidRPr="00BC709E">
        <w:rPr>
          <w:rFonts w:ascii="Arial" w:hAnsi="Arial" w:cs="Arial"/>
          <w:b/>
        </w:rPr>
        <w:fldChar w:fldCharType="separate"/>
      </w:r>
      <w:r w:rsidRPr="00BC709E">
        <w:rPr>
          <w:rFonts w:ascii="Arial" w:hAnsi="Arial" w:cs="Arial"/>
          <w:b/>
          <w:noProof/>
        </w:rPr>
        <w:t>7</w:t>
      </w:r>
      <w:r w:rsidRPr="00BC709E">
        <w:rPr>
          <w:rFonts w:ascii="Arial" w:hAnsi="Arial" w:cs="Arial"/>
          <w:b/>
        </w:rPr>
        <w:fldChar w:fldCharType="end"/>
      </w:r>
      <w:r w:rsidRPr="00BC709E">
        <w:rPr>
          <w:rFonts w:ascii="Arial" w:hAnsi="Arial" w:cs="Arial"/>
          <w:b/>
        </w:rPr>
        <w:t>.</w:t>
      </w:r>
      <w:r w:rsidRPr="00BC709E">
        <w:rPr>
          <w:rFonts w:ascii="Arial" w:hAnsi="Arial" w:cs="Arial"/>
        </w:rPr>
        <w:t xml:space="preserve"> Til- og fraflytninger </w:t>
      </w:r>
      <w:r w:rsidR="00993304" w:rsidRPr="00BC709E">
        <w:rPr>
          <w:rFonts w:ascii="Arial" w:hAnsi="Arial" w:cs="Arial"/>
        </w:rPr>
        <w:t>efter</w:t>
      </w:r>
      <w:r w:rsidR="007B0FB3">
        <w:rPr>
          <w:rFonts w:ascii="Arial" w:hAnsi="Arial" w:cs="Arial"/>
        </w:rPr>
        <w:t xml:space="preserve"> alder, gennemsnit for 2010-2019</w:t>
      </w:r>
      <w:r w:rsidR="00993304" w:rsidRPr="00BC709E">
        <w:rPr>
          <w:rFonts w:ascii="Arial" w:hAnsi="Arial" w:cs="Arial"/>
        </w:rPr>
        <w:t xml:space="preserve"> samt flyttebalance (netto).</w:t>
      </w:r>
    </w:p>
    <w:p w:rsidR="006D04C4" w:rsidRPr="00D30D29" w:rsidRDefault="002F552F" w:rsidP="006D04C4">
      <w:pPr>
        <w:rPr>
          <w:noProof/>
          <w:highlight w:val="yellow"/>
        </w:rPr>
      </w:pPr>
      <w:r>
        <w:rPr>
          <w:noProof/>
        </w:rPr>
        <w:lastRenderedPageBreak/>
        <w:drawing>
          <wp:inline distT="0" distB="0" distL="0" distR="0" wp14:anchorId="422BD895" wp14:editId="58E10F44">
            <wp:extent cx="6120765" cy="3103880"/>
            <wp:effectExtent l="0" t="0" r="0" b="127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04C4" w:rsidRPr="00FB53E1" w:rsidRDefault="006D04C4" w:rsidP="006D04C4">
      <w:pPr>
        <w:rPr>
          <w:noProof/>
          <w:sz w:val="18"/>
          <w:szCs w:val="18"/>
        </w:rPr>
      </w:pPr>
      <w:r w:rsidRPr="00BC709E">
        <w:rPr>
          <w:i/>
          <w:noProof/>
          <w:sz w:val="18"/>
          <w:szCs w:val="18"/>
        </w:rPr>
        <w:t>Kilde: Danmarks Statistik, BEV107 og DemoGrafix</w:t>
      </w:r>
      <w:r w:rsidRPr="00FB53E1">
        <w:rPr>
          <w:noProof/>
          <w:sz w:val="18"/>
          <w:szCs w:val="18"/>
        </w:rPr>
        <w:t>.</w:t>
      </w:r>
    </w:p>
    <w:p w:rsidR="006D04C4" w:rsidRPr="00D30D29" w:rsidRDefault="006D04C4" w:rsidP="006D04C4">
      <w:pPr>
        <w:rPr>
          <w:rFonts w:asciiTheme="minorHAnsi" w:hAnsiTheme="minorHAnsi" w:cstheme="minorHAnsi"/>
          <w:noProof/>
          <w:sz w:val="18"/>
          <w:szCs w:val="18"/>
          <w:highlight w:val="yellow"/>
        </w:rPr>
      </w:pPr>
    </w:p>
    <w:p w:rsidR="006D04C4" w:rsidRDefault="001E013A" w:rsidP="006D04C4">
      <w:r>
        <w:t>Tabel 6</w:t>
      </w:r>
      <w:r w:rsidR="003465E3">
        <w:t xml:space="preserve"> og tabel 6a</w:t>
      </w:r>
      <w:r w:rsidR="006D04C4" w:rsidRPr="006D1E08">
        <w:t xml:space="preserve"> nedenfor viser de 20 kommuner hvor Brøndby</w:t>
      </w:r>
      <w:r w:rsidR="007B0FB3">
        <w:t xml:space="preserve"> Kommune</w:t>
      </w:r>
      <w:r w:rsidR="006D04C4" w:rsidRPr="006D1E08">
        <w:t xml:space="preserve"> har henholdsvis afgivet</w:t>
      </w:r>
      <w:r w:rsidR="003465E3">
        <w:t xml:space="preserve"> og aftaget flest borgere i 2019</w:t>
      </w:r>
      <w:r w:rsidR="00796E72">
        <w:t xml:space="preserve"> opgjort som et nettotal (flyttebalance)</w:t>
      </w:r>
      <w:r w:rsidR="006D04C4" w:rsidRPr="006D1E08">
        <w:t>.</w:t>
      </w:r>
    </w:p>
    <w:p w:rsidR="006D04C4" w:rsidRPr="00D30D29" w:rsidRDefault="006D04C4" w:rsidP="006D04C4">
      <w:pPr>
        <w:pStyle w:val="Billedtekst"/>
        <w:rPr>
          <w:rFonts w:cstheme="minorHAnsi"/>
          <w:szCs w:val="18"/>
          <w:highlight w:val="yellow"/>
        </w:rPr>
      </w:pPr>
      <w:r>
        <w:t>.</w:t>
      </w:r>
    </w:p>
    <w:tbl>
      <w:tblPr>
        <w:tblW w:w="5000" w:type="pct"/>
        <w:jc w:val="center"/>
        <w:tblCellMar>
          <w:left w:w="70" w:type="dxa"/>
          <w:right w:w="70" w:type="dxa"/>
        </w:tblCellMar>
        <w:tblLook w:val="04A0" w:firstRow="1" w:lastRow="0" w:firstColumn="1" w:lastColumn="0" w:noHBand="0" w:noVBand="1"/>
      </w:tblPr>
      <w:tblGrid>
        <w:gridCol w:w="650"/>
        <w:gridCol w:w="3275"/>
        <w:gridCol w:w="1914"/>
        <w:gridCol w:w="1899"/>
        <w:gridCol w:w="1901"/>
      </w:tblGrid>
      <w:tr w:rsidR="00D75A18" w:rsidRPr="00D75A18" w:rsidTr="003465E3">
        <w:trPr>
          <w:trHeight w:val="300"/>
          <w:jc w:val="center"/>
        </w:trPr>
        <w:tc>
          <w:tcPr>
            <w:tcW w:w="3028" w:type="pct"/>
            <w:gridSpan w:val="3"/>
            <w:tcBorders>
              <w:top w:val="nil"/>
              <w:left w:val="nil"/>
              <w:bottom w:val="nil"/>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b/>
                <w:bCs/>
                <w:color w:val="000000"/>
                <w:szCs w:val="22"/>
              </w:rPr>
              <w:t>Tabel 6</w:t>
            </w:r>
            <w:r w:rsidRPr="00D75A18">
              <w:rPr>
                <w:rFonts w:ascii="Calibri" w:hAnsi="Calibri" w:cs="Calibri"/>
                <w:color w:val="000000"/>
                <w:szCs w:val="22"/>
              </w:rPr>
              <w:t>, tilflyttere til Brøndby</w:t>
            </w:r>
          </w:p>
        </w:tc>
        <w:tc>
          <w:tcPr>
            <w:tcW w:w="985" w:type="pct"/>
            <w:tcBorders>
              <w:top w:val="nil"/>
              <w:left w:val="nil"/>
              <w:bottom w:val="nil"/>
              <w:right w:val="nil"/>
            </w:tcBorders>
            <w:shd w:val="clear" w:color="auto" w:fill="auto"/>
            <w:noWrap/>
            <w:vAlign w:val="bottom"/>
            <w:hideMark/>
          </w:tcPr>
          <w:p w:rsidR="00D75A18" w:rsidRPr="00D75A18" w:rsidRDefault="00D75A18" w:rsidP="00D75A18">
            <w:pPr>
              <w:rPr>
                <w:rFonts w:ascii="Calibri" w:hAnsi="Calibri" w:cs="Calibri"/>
                <w:color w:val="000000"/>
                <w:szCs w:val="22"/>
              </w:rPr>
            </w:pPr>
          </w:p>
        </w:tc>
        <w:tc>
          <w:tcPr>
            <w:tcW w:w="987" w:type="pct"/>
            <w:tcBorders>
              <w:top w:val="nil"/>
              <w:left w:val="nil"/>
              <w:bottom w:val="nil"/>
              <w:right w:val="nil"/>
            </w:tcBorders>
            <w:shd w:val="clear" w:color="auto" w:fill="auto"/>
            <w:noWrap/>
            <w:vAlign w:val="bottom"/>
            <w:hideMark/>
          </w:tcPr>
          <w:p w:rsidR="00D75A18" w:rsidRPr="00D75A18" w:rsidRDefault="00D75A18" w:rsidP="00D75A18">
            <w:pPr>
              <w:rPr>
                <w:rFonts w:ascii="Times New Roman" w:hAnsi="Times New Roman"/>
                <w:sz w:val="20"/>
                <w:szCs w:val="20"/>
              </w:rPr>
            </w:pPr>
          </w:p>
        </w:tc>
      </w:tr>
      <w:tr w:rsidR="00D75A18" w:rsidRPr="00D75A18" w:rsidTr="003465E3">
        <w:trPr>
          <w:trHeight w:val="300"/>
          <w:jc w:val="center"/>
        </w:trPr>
        <w:tc>
          <w:tcPr>
            <w:tcW w:w="337"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Nr.</w:t>
            </w:r>
          </w:p>
        </w:tc>
        <w:tc>
          <w:tcPr>
            <w:tcW w:w="1699" w:type="pct"/>
            <w:tcBorders>
              <w:top w:val="nil"/>
              <w:left w:val="single" w:sz="4" w:space="0" w:color="auto"/>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Kommune</w:t>
            </w:r>
          </w:p>
        </w:tc>
        <w:tc>
          <w:tcPr>
            <w:tcW w:w="993"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Tilflyttere</w:t>
            </w:r>
          </w:p>
        </w:tc>
        <w:tc>
          <w:tcPr>
            <w:tcW w:w="985"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Fraflyttere</w:t>
            </w:r>
          </w:p>
        </w:tc>
        <w:tc>
          <w:tcPr>
            <w:tcW w:w="987"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Flyttebalance</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1</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Hvidovre</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157</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113</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2</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København</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694</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663</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31</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3</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Ballerup</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29</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15</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4</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Kalundborg</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22</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14</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8</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5</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Gentofte</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25</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19</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6</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6</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Bornholm</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9</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5</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7</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Lolland</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18</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13</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5</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8</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Odsherred</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12</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8</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9</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Kolding</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6</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10</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Viborg</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7</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p>
        </w:tc>
        <w:tc>
          <w:tcPr>
            <w:tcW w:w="1699" w:type="pct"/>
            <w:tcBorders>
              <w:top w:val="nil"/>
              <w:left w:val="nil"/>
              <w:bottom w:val="nil"/>
              <w:right w:val="nil"/>
            </w:tcBorders>
            <w:shd w:val="clear" w:color="auto" w:fill="auto"/>
            <w:noWrap/>
            <w:vAlign w:val="bottom"/>
            <w:hideMark/>
          </w:tcPr>
          <w:p w:rsidR="00D75A18" w:rsidRDefault="00D75A18"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796E72" w:rsidRDefault="00796E72" w:rsidP="00D75A18">
            <w:pPr>
              <w:rPr>
                <w:rFonts w:ascii="Times New Roman" w:hAnsi="Times New Roman"/>
                <w:sz w:val="20"/>
                <w:szCs w:val="20"/>
              </w:rPr>
            </w:pPr>
          </w:p>
          <w:p w:rsidR="00796E72" w:rsidRDefault="00796E72"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Default="002B7D2C" w:rsidP="00D75A18">
            <w:pPr>
              <w:rPr>
                <w:rFonts w:ascii="Times New Roman" w:hAnsi="Times New Roman"/>
                <w:sz w:val="20"/>
                <w:szCs w:val="20"/>
              </w:rPr>
            </w:pPr>
          </w:p>
          <w:p w:rsidR="002B7D2C" w:rsidRPr="00D75A18" w:rsidRDefault="002B7D2C" w:rsidP="00D75A18">
            <w:pPr>
              <w:rPr>
                <w:rFonts w:ascii="Times New Roman" w:hAnsi="Times New Roman"/>
                <w:sz w:val="20"/>
                <w:szCs w:val="20"/>
              </w:rPr>
            </w:pPr>
          </w:p>
        </w:tc>
        <w:tc>
          <w:tcPr>
            <w:tcW w:w="993" w:type="pct"/>
            <w:tcBorders>
              <w:top w:val="nil"/>
              <w:left w:val="nil"/>
              <w:bottom w:val="nil"/>
              <w:right w:val="nil"/>
            </w:tcBorders>
            <w:shd w:val="clear" w:color="auto" w:fill="auto"/>
            <w:noWrap/>
            <w:vAlign w:val="bottom"/>
            <w:hideMark/>
          </w:tcPr>
          <w:p w:rsidR="00D75A18" w:rsidRPr="00D75A18" w:rsidRDefault="00D75A18" w:rsidP="00D75A18">
            <w:pPr>
              <w:rPr>
                <w:rFonts w:ascii="Times New Roman" w:hAnsi="Times New Roman"/>
                <w:sz w:val="20"/>
                <w:szCs w:val="20"/>
              </w:rPr>
            </w:pPr>
          </w:p>
        </w:tc>
        <w:tc>
          <w:tcPr>
            <w:tcW w:w="985" w:type="pct"/>
            <w:tcBorders>
              <w:top w:val="nil"/>
              <w:left w:val="nil"/>
              <w:bottom w:val="nil"/>
              <w:right w:val="nil"/>
            </w:tcBorders>
            <w:shd w:val="clear" w:color="auto" w:fill="auto"/>
            <w:noWrap/>
            <w:vAlign w:val="bottom"/>
            <w:hideMark/>
          </w:tcPr>
          <w:p w:rsidR="00D75A18" w:rsidRPr="00D75A18" w:rsidRDefault="00D75A18" w:rsidP="00D75A18">
            <w:pPr>
              <w:rPr>
                <w:rFonts w:ascii="Times New Roman" w:hAnsi="Times New Roman"/>
                <w:sz w:val="20"/>
                <w:szCs w:val="20"/>
              </w:rPr>
            </w:pPr>
          </w:p>
        </w:tc>
        <w:tc>
          <w:tcPr>
            <w:tcW w:w="987" w:type="pct"/>
            <w:tcBorders>
              <w:top w:val="nil"/>
              <w:left w:val="nil"/>
              <w:bottom w:val="nil"/>
              <w:right w:val="nil"/>
            </w:tcBorders>
            <w:shd w:val="clear" w:color="auto" w:fill="auto"/>
            <w:noWrap/>
            <w:vAlign w:val="bottom"/>
            <w:hideMark/>
          </w:tcPr>
          <w:p w:rsidR="00D75A18" w:rsidRPr="00D75A18" w:rsidRDefault="00D75A18" w:rsidP="00D75A18">
            <w:pPr>
              <w:rPr>
                <w:rFonts w:ascii="Times New Roman" w:hAnsi="Times New Roman"/>
                <w:sz w:val="20"/>
                <w:szCs w:val="20"/>
              </w:rPr>
            </w:pPr>
          </w:p>
        </w:tc>
      </w:tr>
      <w:tr w:rsidR="00D75A18" w:rsidRPr="00D75A18" w:rsidTr="003465E3">
        <w:trPr>
          <w:trHeight w:val="300"/>
          <w:jc w:val="center"/>
        </w:trPr>
        <w:tc>
          <w:tcPr>
            <w:tcW w:w="3028" w:type="pct"/>
            <w:gridSpan w:val="3"/>
            <w:tcBorders>
              <w:top w:val="nil"/>
              <w:left w:val="nil"/>
              <w:bottom w:val="nil"/>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b/>
                <w:bCs/>
                <w:color w:val="000000"/>
                <w:szCs w:val="22"/>
              </w:rPr>
              <w:t>Tabel 6a</w:t>
            </w:r>
            <w:r w:rsidRPr="00D75A18">
              <w:rPr>
                <w:rFonts w:ascii="Calibri" w:hAnsi="Calibri" w:cs="Calibri"/>
                <w:color w:val="000000"/>
                <w:szCs w:val="22"/>
              </w:rPr>
              <w:t>, fraflyttere fra Brøndby</w:t>
            </w:r>
          </w:p>
        </w:tc>
        <w:tc>
          <w:tcPr>
            <w:tcW w:w="985" w:type="pct"/>
            <w:tcBorders>
              <w:top w:val="nil"/>
              <w:left w:val="nil"/>
              <w:bottom w:val="nil"/>
              <w:right w:val="nil"/>
            </w:tcBorders>
            <w:shd w:val="clear" w:color="auto" w:fill="auto"/>
            <w:noWrap/>
            <w:vAlign w:val="bottom"/>
            <w:hideMark/>
          </w:tcPr>
          <w:p w:rsidR="00D75A18" w:rsidRPr="00D75A18" w:rsidRDefault="00D75A18" w:rsidP="00D75A18">
            <w:pPr>
              <w:rPr>
                <w:rFonts w:ascii="Calibri" w:hAnsi="Calibri" w:cs="Calibri"/>
                <w:color w:val="000000"/>
                <w:szCs w:val="22"/>
              </w:rPr>
            </w:pPr>
          </w:p>
        </w:tc>
        <w:tc>
          <w:tcPr>
            <w:tcW w:w="987" w:type="pct"/>
            <w:tcBorders>
              <w:top w:val="nil"/>
              <w:left w:val="nil"/>
              <w:bottom w:val="nil"/>
              <w:right w:val="nil"/>
            </w:tcBorders>
            <w:shd w:val="clear" w:color="auto" w:fill="auto"/>
            <w:noWrap/>
            <w:vAlign w:val="bottom"/>
            <w:hideMark/>
          </w:tcPr>
          <w:p w:rsidR="00D75A18" w:rsidRPr="00D75A18" w:rsidRDefault="00D75A18" w:rsidP="00D75A18">
            <w:pPr>
              <w:rPr>
                <w:rFonts w:ascii="Times New Roman" w:hAnsi="Times New Roman"/>
                <w:sz w:val="20"/>
                <w:szCs w:val="20"/>
              </w:rPr>
            </w:pPr>
          </w:p>
        </w:tc>
      </w:tr>
      <w:tr w:rsidR="00D75A18" w:rsidRPr="00D75A18" w:rsidTr="003465E3">
        <w:trPr>
          <w:trHeight w:val="300"/>
          <w:jc w:val="center"/>
        </w:trPr>
        <w:tc>
          <w:tcPr>
            <w:tcW w:w="337"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lastRenderedPageBreak/>
              <w:t>Nr.</w:t>
            </w:r>
          </w:p>
        </w:tc>
        <w:tc>
          <w:tcPr>
            <w:tcW w:w="1699" w:type="pct"/>
            <w:tcBorders>
              <w:top w:val="nil"/>
              <w:left w:val="single" w:sz="4" w:space="0" w:color="auto"/>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Kommune</w:t>
            </w:r>
          </w:p>
        </w:tc>
        <w:tc>
          <w:tcPr>
            <w:tcW w:w="993"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Tilflyttere</w:t>
            </w:r>
          </w:p>
        </w:tc>
        <w:tc>
          <w:tcPr>
            <w:tcW w:w="985"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Fraflyttere</w:t>
            </w:r>
          </w:p>
        </w:tc>
        <w:tc>
          <w:tcPr>
            <w:tcW w:w="987" w:type="pct"/>
            <w:tcBorders>
              <w:top w:val="nil"/>
              <w:left w:val="nil"/>
              <w:bottom w:val="single" w:sz="4" w:space="0" w:color="auto"/>
              <w:right w:val="nil"/>
            </w:tcBorders>
            <w:shd w:val="clear" w:color="auto" w:fill="auto"/>
            <w:noWrap/>
            <w:vAlign w:val="bottom"/>
            <w:hideMark/>
          </w:tcPr>
          <w:p w:rsidR="00D75A18" w:rsidRPr="00D75A18" w:rsidRDefault="00D75A18" w:rsidP="00D75A18">
            <w:pPr>
              <w:rPr>
                <w:rFonts w:ascii="Calibri" w:hAnsi="Calibri" w:cs="Calibri"/>
                <w:color w:val="000000"/>
                <w:szCs w:val="22"/>
              </w:rPr>
            </w:pPr>
            <w:r w:rsidRPr="00D75A18">
              <w:rPr>
                <w:rFonts w:ascii="Calibri" w:hAnsi="Calibri" w:cs="Calibri"/>
                <w:color w:val="000000"/>
                <w:szCs w:val="22"/>
              </w:rPr>
              <w:t>Flyttebalance</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1</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Lyngby-Taarbæk</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12</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33</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-21</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2</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Egedal</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23</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46</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-23</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3</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Næstved</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14</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37</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-23</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4</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Albertslund</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75</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99</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5</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Glostrup</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133</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162</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-29</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6</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Vallensbæk</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119</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149</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-30</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7</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Ishøj</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73</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107</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-34</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8</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Rødovre</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104</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142</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-38</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9</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Høje-Taastrup</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86</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128</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-42</w:t>
            </w:r>
          </w:p>
        </w:tc>
      </w:tr>
      <w:tr w:rsidR="00D75A18" w:rsidRPr="00D75A18" w:rsidTr="003465E3">
        <w:trPr>
          <w:trHeight w:val="300"/>
          <w:jc w:val="center"/>
        </w:trPr>
        <w:tc>
          <w:tcPr>
            <w:tcW w:w="337" w:type="pct"/>
            <w:tcBorders>
              <w:top w:val="nil"/>
              <w:left w:val="nil"/>
              <w:bottom w:val="nil"/>
              <w:right w:val="nil"/>
            </w:tcBorders>
            <w:shd w:val="clear" w:color="auto" w:fill="auto"/>
            <w:noWrap/>
            <w:vAlign w:val="bottom"/>
            <w:hideMark/>
          </w:tcPr>
          <w:p w:rsidR="00D75A18" w:rsidRPr="00D75A18" w:rsidRDefault="00D75A18" w:rsidP="00D75A18">
            <w:pPr>
              <w:jc w:val="right"/>
              <w:rPr>
                <w:rFonts w:ascii="Calibri" w:hAnsi="Calibri" w:cs="Calibri"/>
                <w:color w:val="000000"/>
                <w:szCs w:val="22"/>
              </w:rPr>
            </w:pPr>
            <w:r w:rsidRPr="00D75A18">
              <w:rPr>
                <w:rFonts w:ascii="Calibri" w:hAnsi="Calibri" w:cs="Calibri"/>
                <w:color w:val="000000"/>
                <w:szCs w:val="22"/>
              </w:rPr>
              <w:t>10</w:t>
            </w:r>
          </w:p>
        </w:tc>
        <w:tc>
          <w:tcPr>
            <w:tcW w:w="1699" w:type="pct"/>
            <w:tcBorders>
              <w:top w:val="nil"/>
              <w:left w:val="single" w:sz="4" w:space="0" w:color="auto"/>
              <w:bottom w:val="nil"/>
              <w:right w:val="nil"/>
            </w:tcBorders>
            <w:shd w:val="clear" w:color="auto" w:fill="auto"/>
            <w:noWrap/>
            <w:vAlign w:val="bottom"/>
            <w:hideMark/>
          </w:tcPr>
          <w:p w:rsidR="00D75A18" w:rsidRPr="00D75A18" w:rsidRDefault="00D75A18" w:rsidP="00D75A18">
            <w:pPr>
              <w:rPr>
                <w:rFonts w:ascii="Calibri" w:hAnsi="Calibri" w:cs="Calibri"/>
                <w:b/>
                <w:bCs/>
                <w:color w:val="000000"/>
                <w:szCs w:val="22"/>
              </w:rPr>
            </w:pPr>
            <w:r w:rsidRPr="00D75A18">
              <w:rPr>
                <w:rFonts w:ascii="Calibri" w:hAnsi="Calibri" w:cs="Calibri"/>
                <w:b/>
                <w:bCs/>
                <w:color w:val="000000"/>
                <w:szCs w:val="22"/>
              </w:rPr>
              <w:t>Greve</w:t>
            </w:r>
          </w:p>
        </w:tc>
        <w:tc>
          <w:tcPr>
            <w:tcW w:w="993"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51</w:t>
            </w:r>
          </w:p>
        </w:tc>
        <w:tc>
          <w:tcPr>
            <w:tcW w:w="985"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103</w:t>
            </w:r>
          </w:p>
        </w:tc>
        <w:tc>
          <w:tcPr>
            <w:tcW w:w="987" w:type="pct"/>
            <w:tcBorders>
              <w:top w:val="nil"/>
              <w:left w:val="nil"/>
              <w:bottom w:val="nil"/>
              <w:right w:val="nil"/>
            </w:tcBorders>
            <w:shd w:val="clear" w:color="auto" w:fill="auto"/>
            <w:noWrap/>
            <w:vAlign w:val="bottom"/>
            <w:hideMark/>
          </w:tcPr>
          <w:p w:rsidR="00D75A18" w:rsidRPr="00D75A18" w:rsidRDefault="00D75A18" w:rsidP="003465E3">
            <w:pPr>
              <w:jc w:val="center"/>
              <w:rPr>
                <w:rFonts w:ascii="Calibri" w:hAnsi="Calibri" w:cs="Calibri"/>
                <w:color w:val="000000"/>
                <w:szCs w:val="22"/>
              </w:rPr>
            </w:pPr>
            <w:r w:rsidRPr="00D75A18">
              <w:rPr>
                <w:rFonts w:ascii="Calibri" w:hAnsi="Calibri" w:cs="Calibri"/>
                <w:color w:val="000000"/>
                <w:szCs w:val="22"/>
              </w:rPr>
              <w:t>-52</w:t>
            </w:r>
          </w:p>
        </w:tc>
      </w:tr>
    </w:tbl>
    <w:p w:rsidR="00D75A18" w:rsidRDefault="00D75A18" w:rsidP="006D04C4">
      <w:pPr>
        <w:rPr>
          <w:i/>
          <w:sz w:val="18"/>
          <w:szCs w:val="18"/>
        </w:rPr>
      </w:pPr>
    </w:p>
    <w:p w:rsidR="006D04C4" w:rsidRPr="00BC709E" w:rsidRDefault="006D04C4" w:rsidP="006D04C4">
      <w:pPr>
        <w:rPr>
          <w:i/>
          <w:sz w:val="18"/>
          <w:szCs w:val="18"/>
        </w:rPr>
      </w:pPr>
      <w:r w:rsidRPr="00BC709E">
        <w:rPr>
          <w:i/>
          <w:sz w:val="18"/>
          <w:szCs w:val="18"/>
        </w:rPr>
        <w:t>Kilde: Danmarks Statistik, FLY66</w:t>
      </w:r>
      <w:r w:rsidR="00BC709E" w:rsidRPr="00BC709E">
        <w:rPr>
          <w:i/>
          <w:sz w:val="18"/>
          <w:szCs w:val="18"/>
        </w:rPr>
        <w:t xml:space="preserve"> – opgjort netto</w:t>
      </w:r>
    </w:p>
    <w:p w:rsidR="006D04C4" w:rsidRPr="00D30D29" w:rsidRDefault="006D04C4" w:rsidP="006D04C4">
      <w:pPr>
        <w:rPr>
          <w:highlight w:val="yellow"/>
        </w:rPr>
      </w:pPr>
    </w:p>
    <w:p w:rsidR="006D04C4" w:rsidRDefault="006D04C4" w:rsidP="006D04C4">
      <w:r>
        <w:t>Det er primært de nærliggende kommuner der bidrager til Brøndby Kommunes befolkningsudvikling. Den st</w:t>
      </w:r>
      <w:r w:rsidR="00B70F62">
        <w:t>ørste bidragsyder er måske lidt overraskende Hvidovre Kommune efterfulgt af</w:t>
      </w:r>
      <w:r>
        <w:t xml:space="preserve"> Københavns K</w:t>
      </w:r>
      <w:r w:rsidR="00993304">
        <w:t>ommune</w:t>
      </w:r>
      <w:r w:rsidR="007B0FB3">
        <w:t>. De senere år har</w:t>
      </w:r>
      <w:r w:rsidR="00B70F62">
        <w:t xml:space="preserve"> det </w:t>
      </w:r>
      <w:r w:rsidR="007B0FB3">
        <w:t xml:space="preserve">ellers været </w:t>
      </w:r>
      <w:r w:rsidR="00B70F62">
        <w:t>København som har bidraget mest til flyttebalancen.</w:t>
      </w:r>
      <w:r w:rsidR="00993304">
        <w:t xml:space="preserve"> </w:t>
      </w:r>
    </w:p>
    <w:p w:rsidR="006D04C4" w:rsidRDefault="006D04C4" w:rsidP="006D04C4"/>
    <w:p w:rsidR="006D04C4" w:rsidRDefault="006D04C4" w:rsidP="006D04C4">
      <w:r w:rsidRPr="00F638A2">
        <w:t>Det</w:t>
      </w:r>
      <w:r>
        <w:t>te</w:t>
      </w:r>
      <w:r w:rsidRPr="00F638A2">
        <w:t xml:space="preserve"> fremgår</w:t>
      </w:r>
      <w:r>
        <w:t xml:space="preserve"> også </w:t>
      </w:r>
      <w:r w:rsidRPr="00F638A2">
        <w:t xml:space="preserve">at Brøndby Kommune typisk vinder borgere fra København og en række kommuner tættere på København. </w:t>
      </w:r>
    </w:p>
    <w:p w:rsidR="00B70F62" w:rsidRDefault="00B70F62" w:rsidP="006D04C4"/>
    <w:p w:rsidR="00B70F62" w:rsidRDefault="00B70F62" w:rsidP="006D04C4">
      <w:r>
        <w:t>Brøndby Kommune afgiver også flest borgere til ”nærområdet”, dog har Næstved Kommune også fået en plads i op ti.</w:t>
      </w:r>
    </w:p>
    <w:p w:rsidR="00B70F62" w:rsidRDefault="00B70F62" w:rsidP="006D04C4"/>
    <w:p w:rsidR="00B70F62" w:rsidRDefault="00796E72" w:rsidP="006D04C4">
      <w:r>
        <w:t>Figurerne nedenfor viser udvalgte kommuners andele af tilflyttere og fraflyttere</w:t>
      </w:r>
      <w:r w:rsidR="0067405F">
        <w:t>, altså hvor de nye indbyggere kommer fra og hvor indbyggerne i Brøndby flytter hen.</w:t>
      </w:r>
    </w:p>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Default="00B70F62" w:rsidP="006D04C4"/>
    <w:p w:rsidR="00B70F62" w:rsidRPr="00F638A2" w:rsidRDefault="00B70F62" w:rsidP="006D04C4"/>
    <w:p w:rsidR="006D04C4" w:rsidRPr="00D30D29" w:rsidRDefault="006D04C4" w:rsidP="006D04C4">
      <w:pPr>
        <w:pStyle w:val="Billedtekst"/>
        <w:rPr>
          <w:highlight w:val="yellow"/>
        </w:rPr>
      </w:pPr>
    </w:p>
    <w:p w:rsidR="006D04C4" w:rsidRPr="00BC709E" w:rsidRDefault="00BC709E" w:rsidP="006D04C4">
      <w:pPr>
        <w:pStyle w:val="Billedtekst"/>
        <w:rPr>
          <w:rFonts w:ascii="Arial" w:hAnsi="Arial" w:cs="Arial"/>
        </w:rPr>
      </w:pPr>
      <w:r w:rsidRPr="00BC709E">
        <w:rPr>
          <w:rFonts w:ascii="Arial" w:hAnsi="Arial" w:cs="Arial"/>
          <w:b/>
        </w:rPr>
        <w:t>Figur 8</w:t>
      </w:r>
      <w:r w:rsidR="006D04C4" w:rsidRPr="00BC709E">
        <w:rPr>
          <w:rFonts w:ascii="Arial" w:hAnsi="Arial" w:cs="Arial"/>
          <w:b/>
        </w:rPr>
        <w:t>.</w:t>
      </w:r>
      <w:r w:rsidR="006D04C4" w:rsidRPr="00BC709E">
        <w:rPr>
          <w:rFonts w:ascii="Arial" w:hAnsi="Arial" w:cs="Arial"/>
        </w:rPr>
        <w:t xml:space="preserve"> Andel af tilflyttere til Brøndby Kommune der flytter</w:t>
      </w:r>
      <w:r w:rsidR="00735742">
        <w:rPr>
          <w:rFonts w:ascii="Arial" w:hAnsi="Arial" w:cs="Arial"/>
        </w:rPr>
        <w:t xml:space="preserve"> fra 10 udvalgte kommuner i 2019</w:t>
      </w:r>
      <w:r w:rsidR="006D04C4" w:rsidRPr="00BC709E">
        <w:rPr>
          <w:rFonts w:ascii="Arial" w:hAnsi="Arial" w:cs="Arial"/>
        </w:rPr>
        <w:t>. (kilde Demografix)</w:t>
      </w:r>
    </w:p>
    <w:p w:rsidR="006D04C4" w:rsidRPr="00D30D29" w:rsidRDefault="006D04C4" w:rsidP="006D04C4">
      <w:pPr>
        <w:rPr>
          <w:rFonts w:asciiTheme="minorHAnsi" w:hAnsiTheme="minorHAnsi" w:cstheme="minorHAnsi"/>
          <w:sz w:val="18"/>
          <w:szCs w:val="18"/>
          <w:highlight w:val="yellow"/>
        </w:rPr>
      </w:pPr>
    </w:p>
    <w:p w:rsidR="006D04C4" w:rsidRDefault="001635B6" w:rsidP="006D04C4">
      <w:pPr>
        <w:rPr>
          <w:highlight w:val="yellow"/>
        </w:rPr>
      </w:pPr>
      <w:r>
        <w:rPr>
          <w:noProof/>
        </w:rPr>
        <w:drawing>
          <wp:inline distT="0" distB="0" distL="0" distR="0" wp14:anchorId="3CABA9F1" wp14:editId="38120EC5">
            <wp:extent cx="6120765" cy="4448175"/>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448175"/>
                    </a:xfrm>
                    <a:prstGeom prst="rect">
                      <a:avLst/>
                    </a:prstGeom>
                  </pic:spPr>
                </pic:pic>
              </a:graphicData>
            </a:graphic>
          </wp:inline>
        </w:drawing>
      </w:r>
    </w:p>
    <w:p w:rsidR="006D04C4" w:rsidRPr="00F10334" w:rsidRDefault="006D04C4" w:rsidP="006D04C4">
      <w:pPr>
        <w:rPr>
          <w:highlight w:val="yellow"/>
        </w:rPr>
      </w:pPr>
    </w:p>
    <w:p w:rsidR="006D04C4" w:rsidRDefault="006D04C4" w:rsidP="006D04C4"/>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BC709E" w:rsidRDefault="00BC709E" w:rsidP="00BC709E">
      <w:pPr>
        <w:pStyle w:val="Billedtekst"/>
        <w:rPr>
          <w:b/>
        </w:rPr>
      </w:pPr>
    </w:p>
    <w:p w:rsidR="002B7D2C" w:rsidRDefault="002B7D2C" w:rsidP="002B7D2C">
      <w:pPr>
        <w:rPr>
          <w:lang w:eastAsia="en-US"/>
        </w:rPr>
      </w:pPr>
    </w:p>
    <w:p w:rsidR="002B7D2C" w:rsidRDefault="002B7D2C" w:rsidP="002B7D2C">
      <w:pPr>
        <w:rPr>
          <w:lang w:eastAsia="en-US"/>
        </w:rPr>
      </w:pPr>
    </w:p>
    <w:p w:rsidR="002B7D2C" w:rsidRPr="002B7D2C" w:rsidRDefault="002B7D2C" w:rsidP="002B7D2C">
      <w:pPr>
        <w:rPr>
          <w:lang w:eastAsia="en-US"/>
        </w:rPr>
      </w:pPr>
    </w:p>
    <w:p w:rsidR="00BC709E" w:rsidRDefault="00BC709E" w:rsidP="00BC709E">
      <w:pPr>
        <w:pStyle w:val="Billedtekst"/>
        <w:rPr>
          <w:b/>
        </w:rPr>
      </w:pPr>
    </w:p>
    <w:p w:rsidR="00BC709E" w:rsidRDefault="00BC709E" w:rsidP="00BC709E">
      <w:pPr>
        <w:pStyle w:val="Billedtekst"/>
        <w:rPr>
          <w:b/>
        </w:rPr>
      </w:pPr>
    </w:p>
    <w:p w:rsidR="006D04C4" w:rsidRPr="00BC709E" w:rsidRDefault="00BC709E" w:rsidP="00BC709E">
      <w:pPr>
        <w:pStyle w:val="Billedtekst"/>
        <w:rPr>
          <w:rFonts w:ascii="Arial" w:hAnsi="Arial" w:cs="Arial"/>
        </w:rPr>
      </w:pPr>
      <w:r w:rsidRPr="00BC709E">
        <w:rPr>
          <w:rFonts w:ascii="Arial" w:hAnsi="Arial" w:cs="Arial"/>
          <w:b/>
        </w:rPr>
        <w:t>Figur 9.</w:t>
      </w:r>
      <w:r w:rsidRPr="00BC709E">
        <w:rPr>
          <w:rFonts w:ascii="Arial" w:hAnsi="Arial" w:cs="Arial"/>
        </w:rPr>
        <w:t xml:space="preserve"> Andel af fraflyttere til Brøndby Kommune der flytter</w:t>
      </w:r>
      <w:r w:rsidR="00735742">
        <w:rPr>
          <w:rFonts w:ascii="Arial" w:hAnsi="Arial" w:cs="Arial"/>
        </w:rPr>
        <w:t xml:space="preserve"> fra 10 udvalgte kommuner i 2019</w:t>
      </w:r>
      <w:r w:rsidRPr="00BC709E">
        <w:rPr>
          <w:rFonts w:ascii="Arial" w:hAnsi="Arial" w:cs="Arial"/>
        </w:rPr>
        <w:t>. (kilde Demografix)</w:t>
      </w:r>
    </w:p>
    <w:p w:rsidR="006D04C4" w:rsidRDefault="001635B6" w:rsidP="006D04C4">
      <w:r>
        <w:rPr>
          <w:noProof/>
        </w:rPr>
        <w:lastRenderedPageBreak/>
        <w:drawing>
          <wp:inline distT="0" distB="0" distL="0" distR="0" wp14:anchorId="48EE16D5" wp14:editId="2C1873BB">
            <wp:extent cx="6120765" cy="4448175"/>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4448175"/>
                    </a:xfrm>
                    <a:prstGeom prst="rect">
                      <a:avLst/>
                    </a:prstGeom>
                  </pic:spPr>
                </pic:pic>
              </a:graphicData>
            </a:graphic>
          </wp:inline>
        </w:drawing>
      </w:r>
    </w:p>
    <w:p w:rsidR="006D04C4" w:rsidRDefault="006D04C4" w:rsidP="006D04C4"/>
    <w:p w:rsidR="006D04C4" w:rsidRDefault="006D04C4" w:rsidP="006D04C4">
      <w:r>
        <w:t>Københavns Kommune ligger også her i toppen når det gælder personer der flytter fra Brøndby Kommune mens Vallensbæk Kommune er den næststørste aftager af personer fra Brøndby Kommune.</w:t>
      </w:r>
    </w:p>
    <w:p w:rsidR="006D04C4" w:rsidRDefault="006D04C4" w:rsidP="006D04C4"/>
    <w:p w:rsidR="006D04C4" w:rsidRDefault="006D04C4" w:rsidP="006D04C4">
      <w:r w:rsidRPr="009A29BA">
        <w:t xml:space="preserve">Figur 15 nedenfor viser </w:t>
      </w:r>
      <w:r>
        <w:t>kommuner med en positiv og negativ (rødlig) befolkningsudvikling for primært hovedstadsområdet. Her kan det ses at Brøndby Kommu</w:t>
      </w:r>
      <w:r w:rsidR="00224302">
        <w:t>ne har en negativ vækst på -0,9 %, svarende til -307 (ekskl. Korrektion)</w:t>
      </w:r>
      <w:r>
        <w:t xml:space="preserve"> personer, mens nogle omkringliggende kommuner også har en negativ vækst. Der er dog ikke tale om ”faretruende” vækstrater.</w:t>
      </w:r>
    </w:p>
    <w:p w:rsidR="006D04C4" w:rsidRDefault="006D04C4" w:rsidP="006D04C4"/>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Default="00347284" w:rsidP="00347284">
      <w:pPr>
        <w:pStyle w:val="Billedtekst"/>
        <w:rPr>
          <w:b/>
        </w:rPr>
      </w:pPr>
    </w:p>
    <w:p w:rsidR="00347284" w:rsidRPr="00F638A2" w:rsidRDefault="00347284" w:rsidP="00347284">
      <w:pPr>
        <w:pStyle w:val="Billedtekst"/>
      </w:pPr>
      <w:r>
        <w:rPr>
          <w:b/>
        </w:rPr>
        <w:t>Figur 10</w:t>
      </w:r>
      <w:r w:rsidRPr="00F638A2">
        <w:rPr>
          <w:b/>
        </w:rPr>
        <w:t>.</w:t>
      </w:r>
      <w:r>
        <w:rPr>
          <w:b/>
        </w:rPr>
        <w:t xml:space="preserve"> </w:t>
      </w:r>
      <w:r>
        <w:t>Procentvis udvikling i</w:t>
      </w:r>
      <w:r w:rsidR="00735742">
        <w:t xml:space="preserve"> indbyggertallet i løbet af 2019</w:t>
      </w:r>
      <w:r w:rsidRPr="00F638A2">
        <w:t>.</w:t>
      </w:r>
      <w:r>
        <w:t xml:space="preserve"> (kilde Demografix)</w:t>
      </w:r>
    </w:p>
    <w:p w:rsidR="006D04C4" w:rsidRPr="00D30D29" w:rsidRDefault="006D04C4" w:rsidP="006D04C4">
      <w:pPr>
        <w:rPr>
          <w:highlight w:val="yellow"/>
        </w:rPr>
      </w:pPr>
    </w:p>
    <w:p w:rsidR="006D04C4" w:rsidRPr="00227B94" w:rsidRDefault="001635B6" w:rsidP="006D04C4">
      <w:r>
        <w:rPr>
          <w:noProof/>
        </w:rPr>
        <w:drawing>
          <wp:inline distT="0" distB="0" distL="0" distR="0" wp14:anchorId="6020D79B" wp14:editId="22988D16">
            <wp:extent cx="6120765" cy="44418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441825"/>
                    </a:xfrm>
                    <a:prstGeom prst="rect">
                      <a:avLst/>
                    </a:prstGeom>
                  </pic:spPr>
                </pic:pic>
              </a:graphicData>
            </a:graphic>
          </wp:inline>
        </w:drawing>
      </w:r>
      <w:r w:rsidR="006D04C4" w:rsidRPr="00D30D29">
        <w:rPr>
          <w:highlight w:val="yellow"/>
        </w:rPr>
        <w:br w:type="page"/>
      </w:r>
    </w:p>
    <w:p w:rsidR="006D04C4" w:rsidRPr="00227B94" w:rsidRDefault="006D04C4" w:rsidP="006D04C4">
      <w:r w:rsidRPr="00227B94">
        <w:lastRenderedPageBreak/>
        <w:t xml:space="preserve"> </w:t>
      </w:r>
    </w:p>
    <w:p w:rsidR="006D04C4" w:rsidRPr="00227B94" w:rsidRDefault="006D04C4" w:rsidP="006D04C4">
      <w:r w:rsidRPr="00227B94">
        <w:t xml:space="preserve">Tabel </w:t>
      </w:r>
      <w:r w:rsidR="001E013A">
        <w:t>7</w:t>
      </w:r>
      <w:r w:rsidRPr="00227B94">
        <w:t xml:space="preserve"> nedenfor viser det forventede boligby</w:t>
      </w:r>
      <w:r w:rsidR="00993304">
        <w:t>ggeri i Brøndby Kommune fra 2019-2029</w:t>
      </w:r>
      <w:r w:rsidRPr="00227B94">
        <w:t xml:space="preserve"> fordelt i henhold til basisområder, bydele og ”projektnavne”.</w:t>
      </w:r>
    </w:p>
    <w:p w:rsidR="006D04C4" w:rsidRPr="00227B94" w:rsidRDefault="006D04C4" w:rsidP="006D04C4"/>
    <w:p w:rsidR="006D04C4" w:rsidRPr="00227B94" w:rsidRDefault="006D04C4" w:rsidP="006D04C4">
      <w:pPr>
        <w:tabs>
          <w:tab w:val="left" w:pos="2694"/>
        </w:tabs>
      </w:pPr>
      <w:r w:rsidRPr="00227B94">
        <w:t xml:space="preserve">Som det fremgår af figuren, forventes </w:t>
      </w:r>
      <w:r w:rsidR="00993304">
        <w:t>et beskedent boligbyggeri i 2</w:t>
      </w:r>
      <w:r w:rsidR="007B768F">
        <w:t>020</w:t>
      </w:r>
      <w:r w:rsidRPr="00227B94">
        <w:t>, mens det</w:t>
      </w:r>
      <w:r w:rsidR="00993304">
        <w:t xml:space="preserve"> allerede</w:t>
      </w:r>
      <w:r w:rsidRPr="00227B94">
        <w:t xml:space="preserve"> forventes, at de to </w:t>
      </w:r>
      <w:r>
        <w:t>stør</w:t>
      </w:r>
      <w:r w:rsidRPr="00227B94">
        <w:t xml:space="preserve">re projekter </w:t>
      </w:r>
      <w:r w:rsidR="00993304">
        <w:t>”Kirkebjerg” i Brøndbyvester</w:t>
      </w:r>
      <w:r w:rsidRPr="00227B94">
        <w:t xml:space="preserve"> </w:t>
      </w:r>
      <w:r>
        <w:t>og ”Ungdomsboliger i Brøndbyøster</w:t>
      </w:r>
      <w:r w:rsidR="00993304">
        <w:t xml:space="preserve"> startes op i 2020</w:t>
      </w:r>
      <w:r>
        <w:t xml:space="preserve"> og frem</w:t>
      </w:r>
      <w:r w:rsidRPr="00227B94">
        <w:t>. Disse projekter har afgørende betydning for prognosens forløb – både samlet for kommunen under et og for forholdet mellem bydelene.</w:t>
      </w:r>
      <w:r>
        <w:t xml:space="preserve"> Særligt skal byudviklingsprojektet i Kirkebjerg nævnes fordi der her er lagt et</w:t>
      </w:r>
      <w:r w:rsidR="007B768F">
        <w:t xml:space="preserve"> forventet boligbyggeri på ca. 2.1</w:t>
      </w:r>
      <w:r>
        <w:t>00 boliger ind i prognosen</w:t>
      </w:r>
      <w:r w:rsidR="00993304">
        <w:t xml:space="preserve"> frem mod 2025</w:t>
      </w:r>
      <w:r>
        <w:t xml:space="preserve">. </w:t>
      </w:r>
      <w:r w:rsidR="007B768F">
        <w:t>I alt er der indregnet 2.954 nye boliger</w:t>
      </w:r>
      <w:r w:rsidR="00BF6B86">
        <w:t xml:space="preserve"> i denne befolkningsprognose. </w:t>
      </w:r>
      <w:r>
        <w:t>Til sammenligning med boligbyg</w:t>
      </w:r>
      <w:r w:rsidR="007B768F">
        <w:t>geprogrammet fra sidste år så var</w:t>
      </w:r>
      <w:r>
        <w:t xml:space="preserve"> det samlede antal boliger på</w:t>
      </w:r>
      <w:r w:rsidR="005B2392">
        <w:t xml:space="preserve"> 2.686 boliger</w:t>
      </w:r>
      <w:r w:rsidR="007B768F">
        <w:t>. Det betyder at boligprogrammet for 2020-prognosen indeholder</w:t>
      </w:r>
      <w:r w:rsidR="005B2392">
        <w:t xml:space="preserve"> </w:t>
      </w:r>
      <w:r w:rsidR="00995786">
        <w:t>268</w:t>
      </w:r>
      <w:r w:rsidR="005B2392">
        <w:t xml:space="preserve"> flere</w:t>
      </w:r>
      <w:r>
        <w:t xml:space="preserve"> boliger end sidste års boligbyggeprogram.</w:t>
      </w:r>
    </w:p>
    <w:p w:rsidR="006D04C4" w:rsidRPr="00D30D29" w:rsidRDefault="006D04C4" w:rsidP="006D04C4">
      <w:pPr>
        <w:rPr>
          <w:highlight w:val="yellow"/>
        </w:rPr>
      </w:pPr>
    </w:p>
    <w:p w:rsidR="006D04C4" w:rsidRPr="00227B94" w:rsidRDefault="006D04C4" w:rsidP="006D04C4">
      <w:r w:rsidRPr="00227B94">
        <w:t>Boligbyggeprogrammet leveres</w:t>
      </w:r>
      <w:r w:rsidR="005B2392">
        <w:t xml:space="preserve"> i samarbejde med kommunens</w:t>
      </w:r>
      <w:r w:rsidRPr="00227B94">
        <w:t xml:space="preserve"> Teknisk</w:t>
      </w:r>
      <w:r w:rsidR="005B2392">
        <w:t>e Forvaltning</w:t>
      </w:r>
      <w:r w:rsidRPr="00227B94">
        <w:t>.</w:t>
      </w:r>
    </w:p>
    <w:p w:rsidR="006D04C4" w:rsidRPr="00D30D29" w:rsidRDefault="006D04C4" w:rsidP="006D04C4">
      <w:pPr>
        <w:rPr>
          <w:highlight w:val="yellow"/>
        </w:rPr>
      </w:pPr>
    </w:p>
    <w:p w:rsidR="006D04C4" w:rsidRPr="001E013A" w:rsidRDefault="006D04C4" w:rsidP="006D04C4">
      <w:pPr>
        <w:pStyle w:val="Billedtekst"/>
        <w:rPr>
          <w:rFonts w:ascii="Arial" w:hAnsi="Arial" w:cs="Arial"/>
        </w:rPr>
      </w:pPr>
      <w:r w:rsidRPr="001E013A">
        <w:rPr>
          <w:rFonts w:ascii="Arial" w:hAnsi="Arial" w:cs="Arial"/>
          <w:b/>
        </w:rPr>
        <w:t xml:space="preserve">Tabel </w:t>
      </w:r>
      <w:r w:rsidR="001E013A" w:rsidRPr="001E013A">
        <w:rPr>
          <w:rFonts w:ascii="Arial" w:hAnsi="Arial" w:cs="Arial"/>
          <w:b/>
        </w:rPr>
        <w:t>7</w:t>
      </w:r>
      <w:r w:rsidRPr="001E013A">
        <w:rPr>
          <w:rFonts w:ascii="Arial" w:hAnsi="Arial" w:cs="Arial"/>
          <w:b/>
        </w:rPr>
        <w:t>.</w:t>
      </w:r>
      <w:r w:rsidRPr="001E013A">
        <w:rPr>
          <w:rFonts w:ascii="Arial" w:hAnsi="Arial" w:cs="Arial"/>
        </w:rPr>
        <w:t xml:space="preserve"> Brøndby Kom</w:t>
      </w:r>
      <w:r w:rsidR="00BF6B86">
        <w:rPr>
          <w:rFonts w:ascii="Arial" w:hAnsi="Arial" w:cs="Arial"/>
        </w:rPr>
        <w:t>munes boligbyggeprogram for 2020-2030</w:t>
      </w:r>
      <w:r w:rsidRPr="001E013A">
        <w:rPr>
          <w:rFonts w:ascii="Arial" w:hAnsi="Arial" w:cs="Arial"/>
        </w:rPr>
        <w:t>.</w:t>
      </w:r>
    </w:p>
    <w:tbl>
      <w:tblPr>
        <w:tblW w:w="4856" w:type="pct"/>
        <w:tblCellMar>
          <w:left w:w="70" w:type="dxa"/>
          <w:right w:w="70" w:type="dxa"/>
        </w:tblCellMar>
        <w:tblLook w:val="04A0" w:firstRow="1" w:lastRow="0" w:firstColumn="1" w:lastColumn="0" w:noHBand="0" w:noVBand="1"/>
      </w:tblPr>
      <w:tblGrid>
        <w:gridCol w:w="1051"/>
        <w:gridCol w:w="703"/>
        <w:gridCol w:w="1261"/>
        <w:gridCol w:w="1066"/>
        <w:gridCol w:w="485"/>
        <w:gridCol w:w="362"/>
        <w:gridCol w:w="362"/>
        <w:gridCol w:w="362"/>
        <w:gridCol w:w="362"/>
        <w:gridCol w:w="362"/>
        <w:gridCol w:w="362"/>
        <w:gridCol w:w="327"/>
        <w:gridCol w:w="327"/>
        <w:gridCol w:w="327"/>
        <w:gridCol w:w="327"/>
        <w:gridCol w:w="327"/>
        <w:gridCol w:w="979"/>
      </w:tblGrid>
      <w:tr w:rsidR="00CD1DE4" w:rsidRPr="00E1027C" w:rsidTr="00E1027C">
        <w:trPr>
          <w:trHeight w:val="1440"/>
        </w:trPr>
        <w:tc>
          <w:tcPr>
            <w:tcW w:w="5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Boligtype</w:t>
            </w:r>
          </w:p>
        </w:tc>
        <w:tc>
          <w:tcPr>
            <w:tcW w:w="383" w:type="pct"/>
            <w:tcBorders>
              <w:top w:val="single" w:sz="4" w:space="0" w:color="auto"/>
              <w:left w:val="nil"/>
              <w:bottom w:val="nil"/>
              <w:right w:val="single" w:sz="4" w:space="0" w:color="auto"/>
            </w:tcBorders>
            <w:shd w:val="clear" w:color="auto" w:fill="auto"/>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Basisom-rådenr.</w:t>
            </w:r>
          </w:p>
        </w:tc>
        <w:tc>
          <w:tcPr>
            <w:tcW w:w="681" w:type="pct"/>
            <w:tcBorders>
              <w:top w:val="single" w:sz="4" w:space="0" w:color="auto"/>
              <w:left w:val="nil"/>
              <w:bottom w:val="nil"/>
              <w:right w:val="single" w:sz="4" w:space="0" w:color="auto"/>
            </w:tcBorders>
            <w:shd w:val="clear" w:color="auto" w:fill="auto"/>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Basisområdenavn</w:t>
            </w:r>
          </w:p>
        </w:tc>
        <w:tc>
          <w:tcPr>
            <w:tcW w:w="577" w:type="pct"/>
            <w:tcBorders>
              <w:top w:val="single" w:sz="4" w:space="0" w:color="auto"/>
              <w:left w:val="nil"/>
              <w:bottom w:val="nil"/>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Navn</w:t>
            </w:r>
          </w:p>
        </w:tc>
        <w:tc>
          <w:tcPr>
            <w:tcW w:w="266" w:type="pct"/>
            <w:tcBorders>
              <w:top w:val="single" w:sz="4" w:space="0" w:color="auto"/>
              <w:left w:val="nil"/>
              <w:bottom w:val="nil"/>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Bydel</w:t>
            </w:r>
          </w:p>
        </w:tc>
        <w:tc>
          <w:tcPr>
            <w:tcW w:w="200" w:type="pct"/>
            <w:tcBorders>
              <w:top w:val="single" w:sz="4" w:space="0" w:color="auto"/>
              <w:left w:val="nil"/>
              <w:bottom w:val="nil"/>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2020</w:t>
            </w:r>
          </w:p>
        </w:tc>
        <w:tc>
          <w:tcPr>
            <w:tcW w:w="200" w:type="pct"/>
            <w:tcBorders>
              <w:top w:val="single" w:sz="4" w:space="0" w:color="auto"/>
              <w:left w:val="nil"/>
              <w:bottom w:val="nil"/>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2021</w:t>
            </w:r>
          </w:p>
        </w:tc>
        <w:tc>
          <w:tcPr>
            <w:tcW w:w="200" w:type="pct"/>
            <w:tcBorders>
              <w:top w:val="single" w:sz="4" w:space="0" w:color="auto"/>
              <w:left w:val="nil"/>
              <w:bottom w:val="nil"/>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2022</w:t>
            </w:r>
          </w:p>
        </w:tc>
        <w:tc>
          <w:tcPr>
            <w:tcW w:w="200"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2023</w:t>
            </w:r>
          </w:p>
        </w:tc>
        <w:tc>
          <w:tcPr>
            <w:tcW w:w="200"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2024</w:t>
            </w:r>
          </w:p>
        </w:tc>
        <w:tc>
          <w:tcPr>
            <w:tcW w:w="200" w:type="pct"/>
            <w:tcBorders>
              <w:top w:val="single" w:sz="4" w:space="0" w:color="auto"/>
              <w:left w:val="nil"/>
              <w:bottom w:val="nil"/>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2025</w:t>
            </w:r>
          </w:p>
        </w:tc>
        <w:tc>
          <w:tcPr>
            <w:tcW w:w="181"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2026</w:t>
            </w:r>
          </w:p>
        </w:tc>
        <w:tc>
          <w:tcPr>
            <w:tcW w:w="181"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2027</w:t>
            </w:r>
          </w:p>
        </w:tc>
        <w:tc>
          <w:tcPr>
            <w:tcW w:w="181"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2028</w:t>
            </w:r>
          </w:p>
        </w:tc>
        <w:tc>
          <w:tcPr>
            <w:tcW w:w="181"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2029</w:t>
            </w:r>
          </w:p>
        </w:tc>
        <w:tc>
          <w:tcPr>
            <w:tcW w:w="181" w:type="pct"/>
            <w:tcBorders>
              <w:top w:val="single" w:sz="4" w:space="0" w:color="auto"/>
              <w:left w:val="nil"/>
              <w:bottom w:val="single" w:sz="4" w:space="0" w:color="auto"/>
              <w:right w:val="nil"/>
            </w:tcBorders>
            <w:shd w:val="clear" w:color="auto" w:fill="auto"/>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2030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1DE4" w:rsidRPr="00E1027C" w:rsidRDefault="00CD1DE4" w:rsidP="00CD1DE4">
            <w:pPr>
              <w:jc w:val="center"/>
              <w:rPr>
                <w:rFonts w:ascii="Calibri" w:hAnsi="Calibri" w:cs="Calibri"/>
                <w:b/>
                <w:bCs/>
                <w:color w:val="000000"/>
                <w:sz w:val="14"/>
                <w:szCs w:val="14"/>
              </w:rPr>
            </w:pPr>
            <w:r w:rsidRPr="00E1027C">
              <w:rPr>
                <w:rFonts w:ascii="Calibri" w:hAnsi="Calibri" w:cs="Calibri"/>
                <w:b/>
                <w:bCs/>
                <w:color w:val="000000"/>
                <w:sz w:val="14"/>
                <w:szCs w:val="14"/>
              </w:rPr>
              <w:t>Boligprogram 2019-2029 (nye data)</w:t>
            </w:r>
          </w:p>
        </w:tc>
      </w:tr>
      <w:tr w:rsidR="00CD1DE4" w:rsidRPr="00E1027C" w:rsidTr="00E1027C">
        <w:trPr>
          <w:trHeight w:val="405"/>
        </w:trPr>
        <w:tc>
          <w:tcPr>
            <w:tcW w:w="569" w:type="pct"/>
            <w:tcBorders>
              <w:top w:val="nil"/>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w:t>
            </w:r>
          </w:p>
        </w:tc>
        <w:tc>
          <w:tcPr>
            <w:tcW w:w="383" w:type="pct"/>
            <w:tcBorders>
              <w:top w:val="single" w:sz="4" w:space="0" w:color="auto"/>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w:t>
            </w:r>
          </w:p>
        </w:tc>
        <w:tc>
          <w:tcPr>
            <w:tcW w:w="681" w:type="pct"/>
            <w:tcBorders>
              <w:top w:val="single" w:sz="4" w:space="0" w:color="auto"/>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Brøndbyøster</w:t>
            </w:r>
          </w:p>
        </w:tc>
        <w:tc>
          <w:tcPr>
            <w:tcW w:w="577" w:type="pct"/>
            <w:tcBorders>
              <w:top w:val="single" w:sz="4" w:space="0" w:color="auto"/>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w:t>
            </w:r>
          </w:p>
        </w:tc>
        <w:tc>
          <w:tcPr>
            <w:tcW w:w="266" w:type="pct"/>
            <w:tcBorders>
              <w:top w:val="single" w:sz="4" w:space="0" w:color="auto"/>
              <w:left w:val="nil"/>
              <w:bottom w:val="nil"/>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w:t>
            </w:r>
          </w:p>
        </w:tc>
        <w:tc>
          <w:tcPr>
            <w:tcW w:w="200" w:type="pct"/>
            <w:tcBorders>
              <w:top w:val="single" w:sz="4" w:space="0" w:color="auto"/>
              <w:left w:val="nil"/>
              <w:bottom w:val="nil"/>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200" w:type="pct"/>
            <w:tcBorders>
              <w:top w:val="single" w:sz="4" w:space="0" w:color="auto"/>
              <w:left w:val="nil"/>
              <w:bottom w:val="nil"/>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200" w:type="pct"/>
            <w:tcBorders>
              <w:top w:val="single" w:sz="4" w:space="0" w:color="auto"/>
              <w:left w:val="nil"/>
              <w:bottom w:val="nil"/>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200"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200"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200" w:type="pct"/>
            <w:tcBorders>
              <w:top w:val="single" w:sz="4" w:space="0" w:color="auto"/>
              <w:left w:val="nil"/>
              <w:bottom w:val="nil"/>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181"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181"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181"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181"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181" w:type="pct"/>
            <w:tcBorders>
              <w:top w:val="nil"/>
              <w:left w:val="nil"/>
              <w:bottom w:val="single" w:sz="4" w:space="0" w:color="auto"/>
              <w:right w:val="nil"/>
            </w:tcBorders>
            <w:shd w:val="clear" w:color="000000" w:fill="FFFFFF"/>
            <w:noWrap/>
            <w:textDirection w:val="tbRl"/>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 </w:t>
            </w:r>
          </w:p>
        </w:tc>
        <w:tc>
          <w:tcPr>
            <w:tcW w:w="418" w:type="pct"/>
            <w:tcBorders>
              <w:top w:val="nil"/>
              <w:left w:val="single" w:sz="4" w:space="0" w:color="auto"/>
              <w:bottom w:val="single" w:sz="4" w:space="0" w:color="auto"/>
              <w:right w:val="single" w:sz="4" w:space="0" w:color="auto"/>
            </w:tcBorders>
            <w:shd w:val="clear" w:color="auto" w:fill="auto"/>
            <w:vAlign w:val="center"/>
            <w:hideMark/>
          </w:tcPr>
          <w:p w:rsidR="00CD1DE4" w:rsidRPr="00E1027C" w:rsidRDefault="00CD1DE4" w:rsidP="00CD1DE4">
            <w:pPr>
              <w:jc w:val="center"/>
              <w:rPr>
                <w:rFonts w:ascii="Calibri" w:hAnsi="Calibri" w:cs="Calibri"/>
                <w:b/>
                <w:bCs/>
                <w:color w:val="000000"/>
                <w:sz w:val="14"/>
                <w:szCs w:val="14"/>
              </w:rPr>
            </w:pPr>
            <w:r w:rsidRPr="00E1027C">
              <w:rPr>
                <w:rFonts w:ascii="Calibri" w:hAnsi="Calibri" w:cs="Calibri"/>
                <w:b/>
                <w:bCs/>
                <w:color w:val="000000"/>
                <w:sz w:val="14"/>
                <w:szCs w:val="14"/>
              </w:rPr>
              <w:t> </w:t>
            </w:r>
          </w:p>
        </w:tc>
      </w:tr>
      <w:tr w:rsidR="00CD1DE4" w:rsidRPr="00E1027C" w:rsidTr="00E1027C">
        <w:trPr>
          <w:trHeight w:val="30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Række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15102</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Baunedammen række</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Espedammen</w:t>
            </w:r>
          </w:p>
        </w:tc>
        <w:tc>
          <w:tcPr>
            <w:tcW w:w="266" w:type="pct"/>
            <w:tcBorders>
              <w:top w:val="single" w:sz="4" w:space="0" w:color="auto"/>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BØ</w:t>
            </w:r>
          </w:p>
        </w:tc>
        <w:tc>
          <w:tcPr>
            <w:tcW w:w="200" w:type="pct"/>
            <w:tcBorders>
              <w:top w:val="single" w:sz="4" w:space="0" w:color="auto"/>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single" w:sz="4" w:space="0" w:color="auto"/>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single" w:sz="4" w:space="0" w:color="auto"/>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13</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13</w:t>
            </w:r>
          </w:p>
        </w:tc>
        <w:tc>
          <w:tcPr>
            <w:tcW w:w="200" w:type="pct"/>
            <w:tcBorders>
              <w:top w:val="single" w:sz="4" w:space="0" w:color="auto"/>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26 </w:t>
            </w:r>
          </w:p>
        </w:tc>
      </w:tr>
      <w:tr w:rsidR="00CD1DE4" w:rsidRPr="00E1027C" w:rsidTr="00E1027C">
        <w:trPr>
          <w:trHeight w:val="315"/>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Kollegieboliger</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14201</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Brøndbyøster Boulevard 22</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Brøndbyøster Boulevard 22</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170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110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110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110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500 </w:t>
            </w:r>
          </w:p>
        </w:tc>
      </w:tr>
      <w:tr w:rsidR="00CD1DE4" w:rsidRPr="00E1027C" w:rsidTr="00E1027C">
        <w:trPr>
          <w:trHeight w:val="300"/>
        </w:trPr>
        <w:tc>
          <w:tcPr>
            <w:tcW w:w="569" w:type="pct"/>
            <w:tcBorders>
              <w:top w:val="nil"/>
              <w:left w:val="single" w:sz="4" w:space="0" w:color="auto"/>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383" w:type="pct"/>
            <w:tcBorders>
              <w:top w:val="nil"/>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681" w:type="pct"/>
            <w:tcBorders>
              <w:top w:val="nil"/>
              <w:left w:val="single" w:sz="4" w:space="0" w:color="auto"/>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Brøndby Strand</w:t>
            </w:r>
          </w:p>
        </w:tc>
        <w:tc>
          <w:tcPr>
            <w:tcW w:w="577" w:type="pct"/>
            <w:tcBorders>
              <w:top w:val="nil"/>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266" w:type="pct"/>
            <w:tcBorders>
              <w:top w:val="nil"/>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w:t>
            </w:r>
          </w:p>
        </w:tc>
      </w:tr>
      <w:tr w:rsidR="00CD1DE4" w:rsidRPr="00E1027C" w:rsidTr="00E1027C">
        <w:trPr>
          <w:trHeight w:val="30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Række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34501</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Strandskolevej udbygning</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Lagesminde, rækkehuse</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BS</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30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30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60 </w:t>
            </w:r>
          </w:p>
        </w:tc>
      </w:tr>
      <w:tr w:rsidR="00CD1DE4" w:rsidRPr="00E1027C" w:rsidTr="00E1027C">
        <w:trPr>
          <w:trHeight w:val="300"/>
        </w:trPr>
        <w:tc>
          <w:tcPr>
            <w:tcW w:w="569" w:type="pct"/>
            <w:tcBorders>
              <w:top w:val="nil"/>
              <w:left w:val="single" w:sz="4" w:space="0" w:color="auto"/>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383" w:type="pct"/>
            <w:tcBorders>
              <w:top w:val="nil"/>
              <w:left w:val="nil"/>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681" w:type="pct"/>
            <w:tcBorders>
              <w:top w:val="nil"/>
              <w:left w:val="single" w:sz="4" w:space="0" w:color="auto"/>
              <w:bottom w:val="single" w:sz="4" w:space="0" w:color="auto"/>
              <w:right w:val="nil"/>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Brøndbyvester</w:t>
            </w:r>
          </w:p>
        </w:tc>
        <w:tc>
          <w:tcPr>
            <w:tcW w:w="577"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sz w:val="14"/>
                <w:szCs w:val="14"/>
              </w:rPr>
            </w:pPr>
            <w:r w:rsidRPr="00E1027C">
              <w:rPr>
                <w:rFonts w:ascii="Calibri" w:hAnsi="Calibri" w:cs="Calibri"/>
                <w:b/>
                <w:bCs/>
                <w:sz w:val="14"/>
                <w:szCs w:val="14"/>
              </w:rPr>
              <w:t>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Kirkebjerg Parken R&amp;M (oplyst af bygherre) matr.nr 22be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109</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64</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173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Gårdhave R&amp;M (oplyst af bygherre) del af matr.nr. 22f</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50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50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100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Søpark AKF Postnord matr. Nr. 22ai (oplyst af bygherre)</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90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50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180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135</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455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Række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Søpark AKF Postnord matr. Nr. 22ai (oplyst af bygherre)</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35</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35 </w:t>
            </w:r>
          </w:p>
        </w:tc>
      </w:tr>
      <w:tr w:rsidR="00CD1DE4" w:rsidRPr="00E1027C" w:rsidTr="00E1027C">
        <w:trPr>
          <w:trHeight w:val="645"/>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Widex matr. Nr. 22c (nye lokalplan) (oplyst af bygherre)</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106</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100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206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lastRenderedPageBreak/>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Kirkebjerg Parkvej 8-10 matr. Nr. 22ap og 22aq, byggeret 5.359 m2.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30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30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60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Stationsparken (lokalplan 247) Østlige område, matr. Nr. 22o, byggeret 12.774 m2.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75</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75</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150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Stationsparken (lokalplan 247) CASA, matr. Nr, 22e, byggeret 37.440 m2.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110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110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110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110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440 </w:t>
            </w:r>
          </w:p>
        </w:tc>
      </w:tr>
      <w:tr w:rsidR="00CD1DE4" w:rsidRPr="00E1027C" w:rsidTr="00E1027C">
        <w:trPr>
          <w:trHeight w:val="78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GEAS (lokalplan 243) matr.nr. 22r og 22s, byggeret 24.603 m2.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72</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72</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72</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72</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288 </w:t>
            </w:r>
          </w:p>
        </w:tc>
      </w:tr>
      <w:tr w:rsidR="00CD1DE4" w:rsidRPr="00E1027C" w:rsidTr="00E1027C">
        <w:trPr>
          <w:trHeight w:val="1035"/>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22100</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Kirkebjerg nord</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Kirkebjerg Parkvej 14-20 (ny lokalplan) matr. Nr. 22av, 22as og 22at, byggeret 19.810 m2.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77</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77</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sz w:val="14"/>
                <w:szCs w:val="14"/>
              </w:rPr>
            </w:pPr>
            <w:r w:rsidRPr="00E1027C">
              <w:rPr>
                <w:rFonts w:ascii="Calibri" w:hAnsi="Calibri" w:cs="Calibri"/>
                <w:sz w:val="14"/>
                <w:szCs w:val="14"/>
              </w:rPr>
              <w:t>77</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231 </w:t>
            </w:r>
          </w:p>
        </w:tc>
      </w:tr>
      <w:tr w:rsidR="00CD1DE4" w:rsidRPr="00E1027C" w:rsidTr="00E1027C">
        <w:trPr>
          <w:trHeight w:val="525"/>
        </w:trPr>
        <w:tc>
          <w:tcPr>
            <w:tcW w:w="569" w:type="pct"/>
            <w:tcBorders>
              <w:top w:val="nil"/>
              <w:left w:val="single" w:sz="4" w:space="0" w:color="auto"/>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000000" w:fill="FFFFFF"/>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24310</w:t>
            </w:r>
          </w:p>
        </w:tc>
        <w:tc>
          <w:tcPr>
            <w:tcW w:w="681" w:type="pct"/>
            <w:tcBorders>
              <w:top w:val="nil"/>
              <w:left w:val="nil"/>
              <w:bottom w:val="single" w:sz="4" w:space="0" w:color="auto"/>
              <w:right w:val="single" w:sz="4" w:space="0" w:color="auto"/>
            </w:tcBorders>
            <w:shd w:val="clear" w:color="000000" w:fill="FFFFFF"/>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Rylemosen</w:t>
            </w:r>
          </w:p>
        </w:tc>
        <w:tc>
          <w:tcPr>
            <w:tcW w:w="577" w:type="pct"/>
            <w:tcBorders>
              <w:top w:val="nil"/>
              <w:left w:val="nil"/>
              <w:bottom w:val="single" w:sz="4" w:space="0" w:color="auto"/>
              <w:right w:val="single" w:sz="4" w:space="0" w:color="auto"/>
            </w:tcBorders>
            <w:shd w:val="clear" w:color="000000" w:fill="FFFFFF"/>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Park Alle 235, boliger oven på Fakta</w:t>
            </w:r>
          </w:p>
        </w:tc>
        <w:tc>
          <w:tcPr>
            <w:tcW w:w="266"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w:t>
            </w:r>
          </w:p>
        </w:tc>
        <w:tc>
          <w:tcPr>
            <w:tcW w:w="200"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16</w:t>
            </w:r>
          </w:p>
        </w:tc>
        <w:tc>
          <w:tcPr>
            <w:tcW w:w="200"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000000" w:fill="FFFFFF"/>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16 </w:t>
            </w:r>
          </w:p>
        </w:tc>
      </w:tr>
      <w:tr w:rsidR="00CD1DE4" w:rsidRPr="00E1027C" w:rsidTr="00E1027C">
        <w:trPr>
          <w:trHeight w:val="30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Etage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20101</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Banemarksvej</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Banemarksvej</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63</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63</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63</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189 </w:t>
            </w:r>
          </w:p>
        </w:tc>
      </w:tr>
      <w:tr w:rsidR="00CD1DE4" w:rsidRPr="00E1027C" w:rsidTr="00E1027C">
        <w:trPr>
          <w:trHeight w:val="30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Række</w:t>
            </w:r>
          </w:p>
        </w:tc>
        <w:tc>
          <w:tcPr>
            <w:tcW w:w="383"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20101</w:t>
            </w:r>
          </w:p>
        </w:tc>
        <w:tc>
          <w:tcPr>
            <w:tcW w:w="681"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Banemarksvej</w:t>
            </w:r>
          </w:p>
        </w:tc>
        <w:tc>
          <w:tcPr>
            <w:tcW w:w="577" w:type="pct"/>
            <w:tcBorders>
              <w:top w:val="nil"/>
              <w:left w:val="nil"/>
              <w:bottom w:val="single" w:sz="4" w:space="0" w:color="auto"/>
              <w:right w:val="single" w:sz="4" w:space="0" w:color="auto"/>
            </w:tcBorders>
            <w:shd w:val="clear" w:color="auto" w:fill="auto"/>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 xml:space="preserve">Banemarksvej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sz w:val="14"/>
                <w:szCs w:val="14"/>
              </w:rPr>
            </w:pPr>
            <w:r w:rsidRPr="00E1027C">
              <w:rPr>
                <w:rFonts w:ascii="Calibri" w:hAnsi="Calibri" w:cs="Calibri"/>
                <w:sz w:val="14"/>
                <w:szCs w:val="14"/>
              </w:rPr>
              <w:t>BV</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8</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8</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color w:val="000000"/>
                <w:sz w:val="14"/>
                <w:szCs w:val="14"/>
              </w:rPr>
            </w:pPr>
            <w:r w:rsidRPr="00E1027C">
              <w:rPr>
                <w:rFonts w:ascii="Calibri" w:hAnsi="Calibri" w:cs="Calibri"/>
                <w:color w:val="000000"/>
                <w:sz w:val="14"/>
                <w:szCs w:val="14"/>
              </w:rPr>
              <w:t>9</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25 </w:t>
            </w:r>
          </w:p>
        </w:tc>
      </w:tr>
      <w:tr w:rsidR="00CD1DE4" w:rsidRPr="00E1027C" w:rsidTr="00E1027C">
        <w:trPr>
          <w:trHeight w:val="300"/>
        </w:trPr>
        <w:tc>
          <w:tcPr>
            <w:tcW w:w="569" w:type="pct"/>
            <w:tcBorders>
              <w:top w:val="nil"/>
              <w:left w:val="single" w:sz="4" w:space="0" w:color="auto"/>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I alt</w:t>
            </w:r>
          </w:p>
        </w:tc>
        <w:tc>
          <w:tcPr>
            <w:tcW w:w="383"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6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577"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66"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color w:val="000000"/>
                <w:sz w:val="14"/>
                <w:szCs w:val="14"/>
              </w:rPr>
            </w:pPr>
            <w:r w:rsidRPr="00E1027C">
              <w:rPr>
                <w:rFonts w:ascii="Calibri" w:hAnsi="Calibri" w:cs="Calibri"/>
                <w:color w:val="000000"/>
                <w:sz w:val="14"/>
                <w:szCs w:val="14"/>
              </w:rPr>
              <w:t> </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170</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446</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632</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845</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542</w:t>
            </w:r>
          </w:p>
        </w:tc>
        <w:tc>
          <w:tcPr>
            <w:tcW w:w="200"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259</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30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30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0</w:t>
            </w:r>
          </w:p>
        </w:tc>
        <w:tc>
          <w:tcPr>
            <w:tcW w:w="181"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jc w:val="right"/>
              <w:rPr>
                <w:rFonts w:ascii="Calibri" w:hAnsi="Calibri" w:cs="Calibri"/>
                <w:b/>
                <w:bCs/>
                <w:color w:val="000000"/>
                <w:sz w:val="14"/>
                <w:szCs w:val="14"/>
              </w:rPr>
            </w:pPr>
            <w:r w:rsidRPr="00E1027C">
              <w:rPr>
                <w:rFonts w:ascii="Calibri" w:hAnsi="Calibri" w:cs="Calibri"/>
                <w:b/>
                <w:bCs/>
                <w:color w:val="000000"/>
                <w:sz w:val="14"/>
                <w:szCs w:val="14"/>
              </w:rPr>
              <w:t>0</w:t>
            </w:r>
          </w:p>
        </w:tc>
        <w:tc>
          <w:tcPr>
            <w:tcW w:w="418" w:type="pct"/>
            <w:tcBorders>
              <w:top w:val="nil"/>
              <w:left w:val="nil"/>
              <w:bottom w:val="single" w:sz="4" w:space="0" w:color="auto"/>
              <w:right w:val="single" w:sz="4" w:space="0" w:color="auto"/>
            </w:tcBorders>
            <w:shd w:val="clear" w:color="auto" w:fill="auto"/>
            <w:noWrap/>
            <w:vAlign w:val="bottom"/>
            <w:hideMark/>
          </w:tcPr>
          <w:p w:rsidR="00CD1DE4" w:rsidRPr="00E1027C" w:rsidRDefault="00CD1DE4" w:rsidP="00CD1DE4">
            <w:pPr>
              <w:rPr>
                <w:rFonts w:ascii="Calibri" w:hAnsi="Calibri" w:cs="Calibri"/>
                <w:b/>
                <w:bCs/>
                <w:color w:val="000000"/>
                <w:sz w:val="14"/>
                <w:szCs w:val="14"/>
              </w:rPr>
            </w:pPr>
            <w:r w:rsidRPr="00E1027C">
              <w:rPr>
                <w:rFonts w:ascii="Calibri" w:hAnsi="Calibri" w:cs="Calibri"/>
                <w:b/>
                <w:bCs/>
                <w:color w:val="000000"/>
                <w:sz w:val="14"/>
                <w:szCs w:val="14"/>
              </w:rPr>
              <w:t xml:space="preserve">                2.954 </w:t>
            </w:r>
          </w:p>
        </w:tc>
      </w:tr>
    </w:tbl>
    <w:p w:rsidR="00ED6D3F" w:rsidRPr="00ED6D3F" w:rsidRDefault="00ED6D3F" w:rsidP="00ED6D3F">
      <w:pPr>
        <w:rPr>
          <w:lang w:eastAsia="en-US"/>
        </w:rPr>
      </w:pPr>
    </w:p>
    <w:p w:rsidR="006D04C4" w:rsidRPr="00D30D29" w:rsidRDefault="006D04C4" w:rsidP="00347284">
      <w:pPr>
        <w:jc w:val="both"/>
        <w:rPr>
          <w:rFonts w:asciiTheme="minorHAnsi" w:hAnsiTheme="minorHAnsi" w:cstheme="minorHAnsi"/>
          <w:sz w:val="18"/>
          <w:szCs w:val="18"/>
          <w:highlight w:val="yellow"/>
        </w:rPr>
      </w:pPr>
      <w:r w:rsidRPr="00347284">
        <w:rPr>
          <w:rFonts w:asciiTheme="minorHAnsi" w:hAnsiTheme="minorHAnsi" w:cstheme="minorHAnsi"/>
          <w:i/>
          <w:sz w:val="18"/>
          <w:szCs w:val="18"/>
        </w:rPr>
        <w:t>Kilde: Brøndby Kommune, Teknisk Forvaltning og DemoGrafix</w:t>
      </w:r>
      <w:r w:rsidRPr="00227B94">
        <w:rPr>
          <w:rFonts w:asciiTheme="minorHAnsi" w:hAnsiTheme="minorHAnsi" w:cstheme="minorHAnsi"/>
          <w:sz w:val="18"/>
          <w:szCs w:val="18"/>
        </w:rPr>
        <w:t>.</w:t>
      </w:r>
    </w:p>
    <w:p w:rsidR="006D04C4" w:rsidRDefault="006D04C4" w:rsidP="006D04C4">
      <w:pPr>
        <w:pStyle w:val="Billedtekst"/>
        <w:rPr>
          <w:highlight w:val="yellow"/>
        </w:rPr>
      </w:pPr>
    </w:p>
    <w:p w:rsidR="006D04C4" w:rsidRPr="00347284" w:rsidRDefault="00347284" w:rsidP="006D04C4">
      <w:r w:rsidRPr="00347284">
        <w:t>Grafisk så illustrerer figuren neden for den forventede udvikling i kommunens boligprogram</w:t>
      </w:r>
    </w:p>
    <w:p w:rsidR="006D04C4" w:rsidRDefault="006D04C4" w:rsidP="006D04C4">
      <w:pPr>
        <w:rPr>
          <w:b/>
          <w:sz w:val="20"/>
          <w:szCs w:val="20"/>
          <w:highlight w:val="yellow"/>
        </w:rPr>
      </w:pPr>
    </w:p>
    <w:p w:rsidR="003D717A" w:rsidRPr="00347284" w:rsidRDefault="006D04C4" w:rsidP="003D717A">
      <w:pPr>
        <w:pStyle w:val="Billedtekst"/>
        <w:rPr>
          <w:rFonts w:ascii="Arial" w:hAnsi="Arial" w:cs="Arial"/>
          <w:szCs w:val="18"/>
        </w:rPr>
      </w:pPr>
      <w:r w:rsidRPr="00347284">
        <w:rPr>
          <w:rFonts w:ascii="Arial" w:hAnsi="Arial" w:cs="Arial"/>
          <w:b/>
        </w:rPr>
        <w:t xml:space="preserve">Figur </w:t>
      </w:r>
      <w:r w:rsidR="00347284" w:rsidRPr="00347284">
        <w:rPr>
          <w:rFonts w:ascii="Arial" w:hAnsi="Arial" w:cs="Arial"/>
          <w:b/>
        </w:rPr>
        <w:t>11</w:t>
      </w:r>
      <w:r w:rsidRPr="00347284">
        <w:rPr>
          <w:rFonts w:ascii="Arial" w:hAnsi="Arial" w:cs="Arial"/>
          <w:b/>
        </w:rPr>
        <w:t>.</w:t>
      </w:r>
      <w:r w:rsidRPr="00347284">
        <w:rPr>
          <w:rFonts w:ascii="Arial" w:hAnsi="Arial" w:cs="Arial"/>
        </w:rPr>
        <w:t xml:space="preserve"> Brønd</w:t>
      </w:r>
      <w:r w:rsidR="004B2BF1">
        <w:rPr>
          <w:rFonts w:ascii="Arial" w:hAnsi="Arial" w:cs="Arial"/>
        </w:rPr>
        <w:t>by Kommunes boligprogram for 2020-2030</w:t>
      </w:r>
      <w:r w:rsidRPr="00347284">
        <w:rPr>
          <w:rFonts w:ascii="Arial" w:hAnsi="Arial" w:cs="Arial"/>
        </w:rPr>
        <w:t>, totaler for boligtyper.</w:t>
      </w:r>
      <w:r w:rsidRPr="00347284">
        <w:rPr>
          <w:rFonts w:ascii="Arial" w:hAnsi="Arial" w:cs="Arial"/>
          <w:szCs w:val="18"/>
        </w:rPr>
        <w:t xml:space="preserve"> </w:t>
      </w:r>
    </w:p>
    <w:p w:rsidR="006D04C4" w:rsidRPr="00D30D29" w:rsidRDefault="009A77E5" w:rsidP="006D04C4">
      <w:pPr>
        <w:rPr>
          <w:rFonts w:ascii="Calibri" w:hAnsi="Calibri" w:cs="Calibri"/>
          <w:sz w:val="18"/>
          <w:szCs w:val="18"/>
          <w:highlight w:val="yellow"/>
        </w:rPr>
      </w:pPr>
      <w:r>
        <w:rPr>
          <w:noProof/>
        </w:rPr>
        <w:drawing>
          <wp:inline distT="0" distB="0" distL="0" distR="0" wp14:anchorId="6BA1B661" wp14:editId="0B125B25">
            <wp:extent cx="6120765" cy="2954020"/>
            <wp:effectExtent l="38100" t="57150" r="51435" b="5588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D04C4" w:rsidRPr="00F638A2" w:rsidRDefault="006D04C4" w:rsidP="006D04C4">
      <w:pPr>
        <w:pStyle w:val="Billedtekst"/>
        <w:rPr>
          <w:highlight w:val="yellow"/>
        </w:rPr>
      </w:pPr>
    </w:p>
    <w:p w:rsidR="006D04C4" w:rsidRPr="00347284" w:rsidRDefault="003D717A" w:rsidP="006D04C4">
      <w:pPr>
        <w:rPr>
          <w:rFonts w:ascii="Calibri" w:hAnsi="Calibri" w:cs="Calibri"/>
          <w:i/>
          <w:sz w:val="18"/>
          <w:szCs w:val="18"/>
          <w:highlight w:val="yellow"/>
        </w:rPr>
      </w:pPr>
      <w:r w:rsidRPr="00347284">
        <w:rPr>
          <w:rFonts w:ascii="Calibri" w:hAnsi="Calibri" w:cs="Calibri"/>
          <w:i/>
          <w:sz w:val="18"/>
          <w:szCs w:val="18"/>
        </w:rPr>
        <w:t>Kilde: Brøndby Kommune, Teknisk Forvaltning og DemoGrafix.</w:t>
      </w:r>
    </w:p>
    <w:p w:rsidR="006D04C4" w:rsidRPr="00821F9D" w:rsidRDefault="006D04C4" w:rsidP="009461B0">
      <w:r w:rsidRPr="00D30D29">
        <w:rPr>
          <w:highlight w:val="yellow"/>
        </w:rPr>
        <w:lastRenderedPageBreak/>
        <w:br w:type="page"/>
      </w:r>
    </w:p>
    <w:p w:rsidR="006D04C4" w:rsidRPr="00C80AD0" w:rsidRDefault="00204EA5" w:rsidP="006D04C4">
      <w:pPr>
        <w:pStyle w:val="Overskrift1"/>
      </w:pPr>
      <w:bookmarkStart w:id="30" w:name="_Toc6400705"/>
      <w:bookmarkStart w:id="31" w:name="_Toc38361237"/>
      <w:r>
        <w:lastRenderedPageBreak/>
        <w:t xml:space="preserve">Tabeller og </w:t>
      </w:r>
      <w:r w:rsidR="006D04C4" w:rsidRPr="00C80AD0">
        <w:t>Parameterområder</w:t>
      </w:r>
      <w:r>
        <w:t xml:space="preserve"> / </w:t>
      </w:r>
      <w:r w:rsidR="006D04C4" w:rsidRPr="00C80AD0">
        <w:t>distrikter</w:t>
      </w:r>
      <w:bookmarkEnd w:id="30"/>
      <w:bookmarkEnd w:id="31"/>
    </w:p>
    <w:p w:rsidR="006D04C4" w:rsidRPr="00347284" w:rsidRDefault="006D04C4" w:rsidP="006D04C4">
      <w:pPr>
        <w:pStyle w:val="Billedtekst"/>
        <w:rPr>
          <w:rFonts w:ascii="Arial" w:hAnsi="Arial" w:cs="Arial"/>
        </w:rPr>
      </w:pPr>
      <w:r w:rsidRPr="00347284">
        <w:rPr>
          <w:rFonts w:ascii="Arial" w:hAnsi="Arial" w:cs="Arial"/>
          <w:b/>
        </w:rPr>
        <w:t>Tabel</w:t>
      </w:r>
      <w:r w:rsidR="001E013A">
        <w:rPr>
          <w:rFonts w:ascii="Arial" w:hAnsi="Arial" w:cs="Arial"/>
          <w:b/>
        </w:rPr>
        <w:t xml:space="preserve"> 8</w:t>
      </w:r>
      <w:r w:rsidRPr="00347284">
        <w:rPr>
          <w:rFonts w:ascii="Arial" w:hAnsi="Arial" w:cs="Arial"/>
          <w:b/>
        </w:rPr>
        <w:t>.</w:t>
      </w:r>
      <w:r w:rsidRPr="00347284">
        <w:rPr>
          <w:rFonts w:ascii="Arial" w:hAnsi="Arial" w:cs="Arial"/>
        </w:rPr>
        <w:t xml:space="preserve"> Sammensætning af distrikter – kommunen og bydele.</w:t>
      </w:r>
    </w:p>
    <w:tbl>
      <w:tblPr>
        <w:tblW w:w="5127" w:type="pct"/>
        <w:tblCellMar>
          <w:left w:w="70" w:type="dxa"/>
          <w:right w:w="70" w:type="dxa"/>
        </w:tblCellMar>
        <w:tblLook w:val="04A0" w:firstRow="1" w:lastRow="0" w:firstColumn="1" w:lastColumn="0" w:noHBand="0" w:noVBand="1"/>
      </w:tblPr>
      <w:tblGrid>
        <w:gridCol w:w="505"/>
        <w:gridCol w:w="1305"/>
        <w:gridCol w:w="728"/>
        <w:gridCol w:w="728"/>
        <w:gridCol w:w="585"/>
        <w:gridCol w:w="585"/>
        <w:gridCol w:w="585"/>
        <w:gridCol w:w="585"/>
        <w:gridCol w:w="585"/>
        <w:gridCol w:w="585"/>
        <w:gridCol w:w="585"/>
        <w:gridCol w:w="585"/>
        <w:gridCol w:w="585"/>
        <w:gridCol w:w="585"/>
        <w:gridCol w:w="585"/>
        <w:gridCol w:w="585"/>
      </w:tblGrid>
      <w:tr w:rsidR="006D04C4" w:rsidRPr="00347284" w:rsidTr="001D67AB">
        <w:trPr>
          <w:trHeight w:val="255"/>
        </w:trPr>
        <w:tc>
          <w:tcPr>
            <w:tcW w:w="229"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b/>
                <w:bCs/>
                <w:color w:val="000000"/>
                <w:sz w:val="16"/>
                <w:szCs w:val="16"/>
              </w:rPr>
            </w:pPr>
            <w:r w:rsidRPr="00347284">
              <w:rPr>
                <w:rFonts w:cs="Arial"/>
                <w:b/>
                <w:bCs/>
                <w:color w:val="000000"/>
                <w:sz w:val="16"/>
                <w:szCs w:val="16"/>
              </w:rPr>
              <w:t>NR.1</w:t>
            </w:r>
          </w:p>
        </w:tc>
        <w:tc>
          <w:tcPr>
            <w:tcW w:w="8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b/>
                <w:bCs/>
                <w:color w:val="000000"/>
                <w:sz w:val="16"/>
                <w:szCs w:val="16"/>
              </w:rPr>
            </w:pPr>
            <w:r w:rsidRPr="00347284">
              <w:rPr>
                <w:rFonts w:cs="Arial"/>
                <w:b/>
                <w:bCs/>
                <w:color w:val="000000"/>
                <w:sz w:val="16"/>
                <w:szCs w:val="16"/>
              </w:rPr>
              <w:t>DISTRIKT</w:t>
            </w:r>
          </w:p>
        </w:tc>
        <w:tc>
          <w:tcPr>
            <w:tcW w:w="611" w:type="pct"/>
            <w:gridSpan w:val="2"/>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b/>
                <w:bCs/>
                <w:color w:val="000000"/>
                <w:sz w:val="16"/>
                <w:szCs w:val="16"/>
              </w:rPr>
            </w:pPr>
            <w:r w:rsidRPr="00347284">
              <w:rPr>
                <w:rFonts w:cs="Arial"/>
                <w:b/>
                <w:bCs/>
                <w:color w:val="000000"/>
                <w:sz w:val="16"/>
                <w:szCs w:val="16"/>
              </w:rPr>
              <w:t>BASISOMRÅDER</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1</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Hele kommunen</w:t>
            </w:r>
          </w:p>
        </w:tc>
        <w:tc>
          <w:tcPr>
            <w:tcW w:w="306"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10100</w:t>
            </w:r>
          </w:p>
        </w:tc>
        <w:tc>
          <w:tcPr>
            <w:tcW w:w="306"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12200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13500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16102</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19300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22100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23600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25102</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27100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31101</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31222</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32100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34200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35400</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10200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16200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19402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25103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27200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31311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32200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34301</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11101</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12302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17110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20100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24201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27300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31312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32300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34302</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11102</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17120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20200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24202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37100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31104</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31321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34400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11200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12501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17130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20300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22204</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24310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26110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37200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31105</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31322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34501</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11301</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12502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15101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24320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26120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31106</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31323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34502</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11302</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18000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26130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31211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33302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34600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11400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24510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31212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35100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12101</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19401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24520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31213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33500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35200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12102</w:t>
            </w:r>
          </w:p>
        </w:tc>
        <w:tc>
          <w:tcPr>
            <w:tcW w:w="306"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13400</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16101</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19200</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21500</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23500</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25101</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26302</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30500</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31221</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31404</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34100</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35300</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2</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Brøndby Strand</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30100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31211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31311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32100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35100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30200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31212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31312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32200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35200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30300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31213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31321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32300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35300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30400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31104</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31221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31322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31404</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33302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34302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35400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30500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31105</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31222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31323</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34400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31106</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33500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34501</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34502</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34600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3</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Brøndbyvester</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19200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20100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25101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26110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27100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37100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19300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20200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24201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26120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27200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37200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19402</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20300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24202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25103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26130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27300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22203</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24310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26200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21500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22204</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23500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24320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25300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26301</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23600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24400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26302</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24510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24520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4</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Brøndbyøster</w:t>
            </w:r>
          </w:p>
        </w:tc>
        <w:tc>
          <w:tcPr>
            <w:tcW w:w="306"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10100</w:t>
            </w:r>
          </w:p>
        </w:tc>
        <w:tc>
          <w:tcPr>
            <w:tcW w:w="306"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11101</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12101</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13100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14100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15101</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16101</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17110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18000</w:t>
            </w:r>
          </w:p>
        </w:tc>
        <w:tc>
          <w:tcPr>
            <w:tcW w:w="272"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19100</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10200</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16102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17120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19401</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16200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17130</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12301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14400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15300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17200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11302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12302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13500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11400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12400</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12501</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6"/>
                <w:szCs w:val="16"/>
              </w:rPr>
            </w:pPr>
            <w:r w:rsidRPr="00347284">
              <w:rPr>
                <w:rFonts w:cs="Arial"/>
                <w:color w:val="000000"/>
                <w:sz w:val="16"/>
                <w:szCs w:val="16"/>
              </w:rPr>
              <w:t>12502</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nil"/>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r w:rsidR="006D04C4" w:rsidRPr="00347284" w:rsidTr="001D67AB">
        <w:trPr>
          <w:trHeight w:val="255"/>
        </w:trPr>
        <w:tc>
          <w:tcPr>
            <w:tcW w:w="229"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6"/>
                <w:szCs w:val="16"/>
              </w:rPr>
            </w:pPr>
            <w:r w:rsidRPr="00347284">
              <w:rPr>
                <w:rFonts w:cs="Arial"/>
                <w:color w:val="000000"/>
                <w:sz w:val="16"/>
                <w:szCs w:val="16"/>
              </w:rPr>
              <w:t> </w:t>
            </w:r>
          </w:p>
        </w:tc>
        <w:tc>
          <w:tcPr>
            <w:tcW w:w="892" w:type="pct"/>
            <w:tcBorders>
              <w:top w:val="nil"/>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30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c>
          <w:tcPr>
            <w:tcW w:w="272"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6"/>
                <w:szCs w:val="16"/>
              </w:rPr>
            </w:pPr>
            <w:r w:rsidRPr="00347284">
              <w:rPr>
                <w:rFonts w:cs="Arial"/>
                <w:color w:val="000000"/>
                <w:sz w:val="16"/>
                <w:szCs w:val="16"/>
              </w:rPr>
              <w:t> </w:t>
            </w:r>
          </w:p>
        </w:tc>
      </w:tr>
    </w:tbl>
    <w:p w:rsidR="006D04C4" w:rsidRPr="00347284" w:rsidRDefault="006D04C4" w:rsidP="006D04C4">
      <w:pPr>
        <w:rPr>
          <w:rFonts w:cs="Arial"/>
          <w:i/>
        </w:rPr>
      </w:pPr>
      <w:r w:rsidRPr="00347284">
        <w:rPr>
          <w:rFonts w:cs="Arial"/>
          <w:i/>
          <w:noProof/>
          <w:sz w:val="18"/>
          <w:szCs w:val="18"/>
        </w:rPr>
        <w:t>Kilde: DemoGrafix.</w:t>
      </w:r>
    </w:p>
    <w:p w:rsidR="006D04C4" w:rsidRPr="00C80AD0" w:rsidRDefault="006D04C4" w:rsidP="006D04C4"/>
    <w:p w:rsidR="006D04C4" w:rsidRPr="00C80AD0" w:rsidRDefault="006D04C4" w:rsidP="006D04C4">
      <w:pPr>
        <w:pStyle w:val="Billedtekst"/>
      </w:pPr>
    </w:p>
    <w:p w:rsidR="006D04C4" w:rsidRPr="00C80AD0" w:rsidRDefault="006D04C4" w:rsidP="006D04C4"/>
    <w:p w:rsidR="006D04C4" w:rsidRPr="00C80AD0" w:rsidRDefault="006D04C4" w:rsidP="006D04C4"/>
    <w:p w:rsidR="006D04C4" w:rsidRDefault="006D04C4" w:rsidP="006D04C4">
      <w:pPr>
        <w:pStyle w:val="Billedtekst"/>
      </w:pPr>
    </w:p>
    <w:p w:rsidR="00347284" w:rsidRDefault="00347284" w:rsidP="00347284">
      <w:pPr>
        <w:rPr>
          <w:lang w:eastAsia="en-US"/>
        </w:rPr>
      </w:pPr>
    </w:p>
    <w:p w:rsidR="00347284" w:rsidRPr="00347284" w:rsidRDefault="00347284" w:rsidP="00347284">
      <w:pPr>
        <w:rPr>
          <w:lang w:eastAsia="en-US"/>
        </w:rPr>
      </w:pPr>
    </w:p>
    <w:p w:rsidR="006D04C4" w:rsidRPr="00C80AD0" w:rsidRDefault="006D04C4" w:rsidP="006D04C4"/>
    <w:p w:rsidR="006D04C4" w:rsidRPr="00347284" w:rsidRDefault="006D04C4" w:rsidP="006D04C4">
      <w:pPr>
        <w:pStyle w:val="Billedtekst"/>
        <w:rPr>
          <w:rFonts w:ascii="Arial" w:hAnsi="Arial" w:cs="Arial"/>
        </w:rPr>
      </w:pPr>
      <w:r w:rsidRPr="00347284">
        <w:rPr>
          <w:rFonts w:ascii="Arial" w:hAnsi="Arial" w:cs="Arial"/>
          <w:b/>
        </w:rPr>
        <w:t>Figur</w:t>
      </w:r>
      <w:r w:rsidR="00347284">
        <w:rPr>
          <w:rFonts w:ascii="Arial" w:hAnsi="Arial" w:cs="Arial"/>
          <w:b/>
        </w:rPr>
        <w:t xml:space="preserve"> </w:t>
      </w:r>
      <w:r w:rsidR="00347284">
        <w:rPr>
          <w:rFonts w:ascii="Arial" w:hAnsi="Arial" w:cs="Arial"/>
          <w:b/>
          <w:noProof/>
        </w:rPr>
        <w:t>12</w:t>
      </w:r>
      <w:r w:rsidRPr="00347284">
        <w:rPr>
          <w:rFonts w:ascii="Arial" w:hAnsi="Arial" w:cs="Arial"/>
        </w:rPr>
        <w:t>. Basisområder - Brøndbyvester.</w:t>
      </w:r>
    </w:p>
    <w:p w:rsidR="006D04C4" w:rsidRPr="00C80AD0" w:rsidRDefault="006D04C4" w:rsidP="006D04C4">
      <w:pPr>
        <w:pStyle w:val="Billedtekst"/>
      </w:pPr>
      <w:r w:rsidRPr="00C80AD0">
        <w:rPr>
          <w:noProof/>
          <w:lang w:eastAsia="da-DK"/>
        </w:rPr>
        <w:drawing>
          <wp:inline distT="0" distB="0" distL="0" distR="0" wp14:anchorId="6F21B59D" wp14:editId="7B412E02">
            <wp:extent cx="6115050" cy="4762500"/>
            <wp:effectExtent l="0" t="0" r="0" b="0"/>
            <wp:docPr id="25" name="Billede 25" descr="Basisomr-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sisomr-BV"/>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4762500"/>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Kilde: DemoGrafix.</w:t>
      </w:r>
    </w:p>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Pr="00C80AD0" w:rsidRDefault="006D04C4" w:rsidP="006D04C4"/>
    <w:p w:rsidR="00347284" w:rsidRDefault="00347284" w:rsidP="006D04C4">
      <w:pPr>
        <w:pStyle w:val="Billedtekst"/>
      </w:pPr>
    </w:p>
    <w:p w:rsidR="00347284" w:rsidRDefault="00347284" w:rsidP="006D04C4">
      <w:pPr>
        <w:pStyle w:val="Billedtekst"/>
      </w:pPr>
    </w:p>
    <w:p w:rsidR="00347284" w:rsidRDefault="00347284" w:rsidP="006D04C4">
      <w:pPr>
        <w:pStyle w:val="Billedtekst"/>
      </w:pPr>
    </w:p>
    <w:p w:rsidR="00347284" w:rsidRDefault="00347284" w:rsidP="006D04C4">
      <w:pPr>
        <w:pStyle w:val="Billedtekst"/>
      </w:pPr>
    </w:p>
    <w:p w:rsidR="006D04C4" w:rsidRPr="00347284" w:rsidRDefault="006D04C4" w:rsidP="006D04C4">
      <w:pPr>
        <w:pStyle w:val="Billedtekst"/>
        <w:rPr>
          <w:rFonts w:ascii="Arial" w:hAnsi="Arial" w:cs="Arial"/>
        </w:rPr>
      </w:pPr>
      <w:r w:rsidRPr="00347284">
        <w:rPr>
          <w:rFonts w:ascii="Arial" w:hAnsi="Arial" w:cs="Arial"/>
          <w:b/>
        </w:rPr>
        <w:t>Figur</w:t>
      </w:r>
      <w:r w:rsidR="00347284" w:rsidRPr="00347284">
        <w:rPr>
          <w:rFonts w:ascii="Arial" w:hAnsi="Arial" w:cs="Arial"/>
          <w:b/>
        </w:rPr>
        <w:t xml:space="preserve"> </w:t>
      </w:r>
      <w:r w:rsidR="00347284">
        <w:rPr>
          <w:rFonts w:ascii="Arial" w:hAnsi="Arial" w:cs="Arial"/>
          <w:b/>
          <w:noProof/>
        </w:rPr>
        <w:t>13</w:t>
      </w:r>
      <w:r w:rsidRPr="00347284">
        <w:rPr>
          <w:rFonts w:ascii="Arial" w:hAnsi="Arial" w:cs="Arial"/>
        </w:rPr>
        <w:t>. Basisområder - Brøndbyøster.</w:t>
      </w:r>
    </w:p>
    <w:p w:rsidR="006D04C4" w:rsidRPr="00C80AD0" w:rsidRDefault="006D04C4" w:rsidP="006D04C4">
      <w:r w:rsidRPr="00C80AD0">
        <w:rPr>
          <w:noProof/>
        </w:rPr>
        <w:lastRenderedPageBreak/>
        <w:drawing>
          <wp:inline distT="0" distB="0" distL="0" distR="0" wp14:anchorId="0E8F0B2D" wp14:editId="20AC67FC">
            <wp:extent cx="5610225" cy="7248525"/>
            <wp:effectExtent l="0" t="0" r="9525" b="9525"/>
            <wp:docPr id="26" name="Billede 26" descr="Basisomr-B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sisomr-B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7248525"/>
                    </a:xfrm>
                    <a:prstGeom prst="rect">
                      <a:avLst/>
                    </a:prstGeom>
                    <a:noFill/>
                    <a:ln>
                      <a:noFill/>
                    </a:ln>
                  </pic:spPr>
                </pic:pic>
              </a:graphicData>
            </a:graphic>
          </wp:inline>
        </w:drawing>
      </w:r>
    </w:p>
    <w:p w:rsidR="006D04C4" w:rsidRPr="00C80AD0" w:rsidRDefault="006D04C4" w:rsidP="006D04C4">
      <w:pPr>
        <w:rPr>
          <w:rFonts w:ascii="Calibri" w:hAnsi="Calibri" w:cs="Calibri"/>
          <w:sz w:val="18"/>
          <w:szCs w:val="18"/>
        </w:rPr>
      </w:pPr>
      <w:r w:rsidRPr="00C80AD0">
        <w:rPr>
          <w:rFonts w:ascii="Calibri" w:hAnsi="Calibri" w:cs="Calibri"/>
          <w:sz w:val="18"/>
          <w:szCs w:val="18"/>
        </w:rPr>
        <w:t>Kilde: DemoGrafix.</w:t>
      </w:r>
    </w:p>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Pr="00C80AD0" w:rsidRDefault="006D04C4" w:rsidP="006D04C4"/>
    <w:p w:rsidR="006D04C4" w:rsidRPr="00C80AD0" w:rsidRDefault="006D04C4" w:rsidP="006D04C4"/>
    <w:p w:rsidR="006D04C4" w:rsidRPr="00347284" w:rsidRDefault="006D04C4" w:rsidP="006D04C4">
      <w:pPr>
        <w:pStyle w:val="Billedtekst"/>
        <w:rPr>
          <w:rFonts w:ascii="Arial" w:hAnsi="Arial" w:cs="Arial"/>
        </w:rPr>
      </w:pPr>
      <w:r w:rsidRPr="00347284">
        <w:rPr>
          <w:rFonts w:ascii="Arial" w:hAnsi="Arial" w:cs="Arial"/>
          <w:b/>
        </w:rPr>
        <w:t>Figur</w:t>
      </w:r>
      <w:r w:rsidR="00347284" w:rsidRPr="00347284">
        <w:rPr>
          <w:rFonts w:ascii="Arial" w:hAnsi="Arial" w:cs="Arial"/>
          <w:b/>
        </w:rPr>
        <w:t xml:space="preserve"> </w:t>
      </w:r>
      <w:r w:rsidR="00347284" w:rsidRPr="00347284">
        <w:rPr>
          <w:rFonts w:ascii="Arial" w:hAnsi="Arial" w:cs="Arial"/>
          <w:b/>
          <w:noProof/>
        </w:rPr>
        <w:t>1</w:t>
      </w:r>
      <w:r w:rsidR="00347284">
        <w:rPr>
          <w:rFonts w:ascii="Arial" w:hAnsi="Arial" w:cs="Arial"/>
          <w:b/>
          <w:noProof/>
        </w:rPr>
        <w:t>4</w:t>
      </w:r>
      <w:r w:rsidRPr="00347284">
        <w:rPr>
          <w:rFonts w:ascii="Arial" w:hAnsi="Arial" w:cs="Arial"/>
        </w:rPr>
        <w:t>. Basisområder - Brøndby Strand.</w:t>
      </w:r>
    </w:p>
    <w:p w:rsidR="006D04C4" w:rsidRPr="00C80AD0" w:rsidRDefault="006D04C4" w:rsidP="006D04C4">
      <w:r w:rsidRPr="00C80AD0">
        <w:rPr>
          <w:noProof/>
        </w:rPr>
        <w:drawing>
          <wp:inline distT="0" distB="0" distL="0" distR="0" wp14:anchorId="111DEF96" wp14:editId="447D1A72">
            <wp:extent cx="6115050" cy="5076825"/>
            <wp:effectExtent l="0" t="0" r="0" b="9525"/>
            <wp:docPr id="27" name="Billede 27" descr="Basisom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sisomr-B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5076825"/>
                    </a:xfrm>
                    <a:prstGeom prst="rect">
                      <a:avLst/>
                    </a:prstGeom>
                    <a:noFill/>
                    <a:ln>
                      <a:noFill/>
                    </a:ln>
                  </pic:spPr>
                </pic:pic>
              </a:graphicData>
            </a:graphic>
          </wp:inline>
        </w:drawing>
      </w:r>
    </w:p>
    <w:p w:rsidR="006D04C4" w:rsidRPr="00C80AD0" w:rsidRDefault="006D04C4" w:rsidP="006D04C4">
      <w:pPr>
        <w:rPr>
          <w:rFonts w:ascii="Calibri" w:hAnsi="Calibri" w:cs="Calibri"/>
          <w:sz w:val="18"/>
          <w:szCs w:val="18"/>
        </w:rPr>
      </w:pPr>
      <w:r w:rsidRPr="00C80AD0">
        <w:rPr>
          <w:rFonts w:ascii="Calibri" w:hAnsi="Calibri" w:cs="Calibri"/>
          <w:sz w:val="18"/>
          <w:szCs w:val="18"/>
        </w:rPr>
        <w:t>Kilde: DemoGrafix.</w:t>
      </w:r>
    </w:p>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Pr="00C80AD0" w:rsidRDefault="006D04C4" w:rsidP="006D04C4"/>
    <w:p w:rsidR="00347284" w:rsidRDefault="00347284" w:rsidP="006D04C4">
      <w:pPr>
        <w:pStyle w:val="Billedtekst"/>
        <w:rPr>
          <w:rFonts w:ascii="Arial" w:hAnsi="Arial" w:cs="Arial"/>
          <w:b/>
        </w:rPr>
      </w:pPr>
    </w:p>
    <w:p w:rsidR="00347284" w:rsidRDefault="00347284" w:rsidP="006D04C4">
      <w:pPr>
        <w:pStyle w:val="Billedtekst"/>
        <w:rPr>
          <w:rFonts w:ascii="Arial" w:hAnsi="Arial" w:cs="Arial"/>
          <w:b/>
        </w:rPr>
      </w:pPr>
    </w:p>
    <w:p w:rsidR="00347284" w:rsidRDefault="00347284" w:rsidP="006D04C4">
      <w:pPr>
        <w:pStyle w:val="Billedtekst"/>
        <w:rPr>
          <w:rFonts w:ascii="Arial" w:hAnsi="Arial" w:cs="Arial"/>
          <w:b/>
        </w:rPr>
      </w:pPr>
    </w:p>
    <w:p w:rsidR="006D04C4" w:rsidRPr="00347284" w:rsidRDefault="006D04C4" w:rsidP="006D04C4">
      <w:pPr>
        <w:pStyle w:val="Billedtekst"/>
        <w:rPr>
          <w:rFonts w:ascii="Arial" w:hAnsi="Arial" w:cs="Arial"/>
        </w:rPr>
      </w:pPr>
      <w:r w:rsidRPr="00347284">
        <w:rPr>
          <w:rFonts w:ascii="Arial" w:hAnsi="Arial" w:cs="Arial"/>
          <w:b/>
        </w:rPr>
        <w:t>Figur</w:t>
      </w:r>
      <w:r w:rsidR="00347284" w:rsidRPr="00347284">
        <w:rPr>
          <w:rFonts w:ascii="Arial" w:hAnsi="Arial" w:cs="Arial"/>
          <w:b/>
        </w:rPr>
        <w:t xml:space="preserve"> 1</w:t>
      </w:r>
      <w:r w:rsidR="00347284">
        <w:rPr>
          <w:rFonts w:ascii="Arial" w:hAnsi="Arial" w:cs="Arial"/>
          <w:b/>
        </w:rPr>
        <w:t>5</w:t>
      </w:r>
      <w:r w:rsidRPr="00347284">
        <w:rPr>
          <w:rFonts w:ascii="Arial" w:hAnsi="Arial" w:cs="Arial"/>
        </w:rPr>
        <w:t>. Sammensætningen af distrikter - bydele.</w:t>
      </w:r>
    </w:p>
    <w:p w:rsidR="006D04C4" w:rsidRPr="00C80AD0" w:rsidRDefault="006D04C4" w:rsidP="006D04C4">
      <w:r w:rsidRPr="00C80AD0">
        <w:rPr>
          <w:noProof/>
        </w:rPr>
        <w:drawing>
          <wp:inline distT="0" distB="0" distL="0" distR="0" wp14:anchorId="0E6C4FCC" wp14:editId="6C3E0A6A">
            <wp:extent cx="6115050" cy="4810125"/>
            <wp:effectExtent l="0" t="0" r="0" b="9525"/>
            <wp:docPr id="28" name="Billede 28" descr="Byd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yde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4810125"/>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Kilde: DemoGrafix.</w:t>
      </w:r>
    </w:p>
    <w:p w:rsidR="006D04C4" w:rsidRPr="00C80AD0" w:rsidRDefault="006D04C4" w:rsidP="006D04C4">
      <w:r w:rsidRPr="00C80AD0">
        <w:br w:type="page"/>
      </w:r>
    </w:p>
    <w:p w:rsidR="006D04C4" w:rsidRPr="00347284" w:rsidRDefault="006D04C4" w:rsidP="006D04C4">
      <w:pPr>
        <w:pStyle w:val="Billedtekst"/>
        <w:rPr>
          <w:rFonts w:ascii="Arial" w:hAnsi="Arial" w:cs="Arial"/>
        </w:rPr>
      </w:pPr>
      <w:r w:rsidRPr="00347284">
        <w:rPr>
          <w:rFonts w:ascii="Arial" w:hAnsi="Arial" w:cs="Arial"/>
          <w:b/>
        </w:rPr>
        <w:lastRenderedPageBreak/>
        <w:t>Tabel</w:t>
      </w:r>
      <w:r w:rsidR="00347284" w:rsidRPr="00347284">
        <w:rPr>
          <w:rFonts w:ascii="Arial" w:hAnsi="Arial" w:cs="Arial"/>
          <w:b/>
        </w:rPr>
        <w:t xml:space="preserve"> 9</w:t>
      </w:r>
      <w:r w:rsidRPr="00347284">
        <w:rPr>
          <w:rFonts w:ascii="Arial" w:hAnsi="Arial" w:cs="Arial"/>
          <w:b/>
        </w:rPr>
        <w:t>.</w:t>
      </w:r>
      <w:r w:rsidRPr="00347284">
        <w:rPr>
          <w:rFonts w:ascii="Arial" w:hAnsi="Arial" w:cs="Arial"/>
        </w:rPr>
        <w:t xml:space="preserve"> Sammensætning af distrikter - særområder.</w:t>
      </w:r>
    </w:p>
    <w:tbl>
      <w:tblPr>
        <w:tblW w:w="5154" w:type="pct"/>
        <w:tblCellMar>
          <w:left w:w="70" w:type="dxa"/>
          <w:right w:w="70" w:type="dxa"/>
        </w:tblCellMar>
        <w:tblLook w:val="04A0" w:firstRow="1" w:lastRow="0" w:firstColumn="1" w:lastColumn="0" w:noHBand="0" w:noVBand="1"/>
      </w:tblPr>
      <w:tblGrid>
        <w:gridCol w:w="450"/>
        <w:gridCol w:w="2152"/>
        <w:gridCol w:w="807"/>
        <w:gridCol w:w="814"/>
        <w:gridCol w:w="641"/>
        <w:gridCol w:w="641"/>
        <w:gridCol w:w="641"/>
        <w:gridCol w:w="641"/>
        <w:gridCol w:w="641"/>
        <w:gridCol w:w="641"/>
        <w:gridCol w:w="641"/>
        <w:gridCol w:w="191"/>
        <w:gridCol w:w="243"/>
        <w:gridCol w:w="267"/>
        <w:gridCol w:w="267"/>
        <w:gridCol w:w="258"/>
      </w:tblGrid>
      <w:tr w:rsidR="006D04C4" w:rsidRPr="00347284" w:rsidTr="001D67AB">
        <w:trPr>
          <w:trHeight w:val="268"/>
        </w:trPr>
        <w:tc>
          <w:tcPr>
            <w:tcW w:w="196"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b/>
                <w:bCs/>
                <w:color w:val="000000"/>
                <w:sz w:val="18"/>
                <w:szCs w:val="18"/>
              </w:rPr>
            </w:pPr>
            <w:r w:rsidRPr="00347284">
              <w:rPr>
                <w:rFonts w:cs="Arial"/>
                <w:b/>
                <w:bCs/>
                <w:color w:val="000000"/>
                <w:sz w:val="18"/>
                <w:szCs w:val="18"/>
              </w:rPr>
              <w:t>NR.</w:t>
            </w:r>
          </w:p>
        </w:tc>
        <w:tc>
          <w:tcPr>
            <w:tcW w:w="9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b/>
                <w:bCs/>
                <w:color w:val="000000"/>
                <w:sz w:val="18"/>
                <w:szCs w:val="18"/>
              </w:rPr>
            </w:pPr>
            <w:r w:rsidRPr="00347284">
              <w:rPr>
                <w:rFonts w:cs="Arial"/>
                <w:b/>
                <w:bCs/>
                <w:color w:val="000000"/>
                <w:sz w:val="18"/>
                <w:szCs w:val="18"/>
              </w:rPr>
              <w:t>DISTRIKT</w:t>
            </w:r>
          </w:p>
        </w:tc>
        <w:tc>
          <w:tcPr>
            <w:tcW w:w="629" w:type="pct"/>
            <w:gridSpan w:val="2"/>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b/>
                <w:bCs/>
                <w:color w:val="000000"/>
                <w:sz w:val="18"/>
                <w:szCs w:val="18"/>
              </w:rPr>
            </w:pPr>
            <w:r w:rsidRPr="00347284">
              <w:rPr>
                <w:rFonts w:cs="Arial"/>
                <w:b/>
                <w:bCs/>
                <w:color w:val="000000"/>
                <w:sz w:val="18"/>
                <w:szCs w:val="18"/>
              </w:rPr>
              <w:t>BASISOMRÅDER</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500</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Parkerne</w:t>
            </w:r>
          </w:p>
        </w:tc>
        <w:tc>
          <w:tcPr>
            <w:tcW w:w="313" w:type="pct"/>
            <w:tcBorders>
              <w:top w:val="single" w:sz="4" w:space="0" w:color="auto"/>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31101</w:t>
            </w:r>
          </w:p>
        </w:tc>
        <w:tc>
          <w:tcPr>
            <w:tcW w:w="31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31211</w:t>
            </w:r>
          </w:p>
        </w:tc>
        <w:tc>
          <w:tcPr>
            <w:tcW w:w="279"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31311</w:t>
            </w:r>
          </w:p>
        </w:tc>
        <w:tc>
          <w:tcPr>
            <w:tcW w:w="279"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31401</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31102</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31312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31103</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31104</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31221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31404</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31105</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31222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31106</w:t>
            </w:r>
          </w:p>
        </w:tc>
        <w:tc>
          <w:tcPr>
            <w:tcW w:w="31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600</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Boliger nord for Parkerne</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11101</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11200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11301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11400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13100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11102</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11302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13200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700</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Kvarterløftsområdet</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30100</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31311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32300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33200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33400</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33500</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30200</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31312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33301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30300</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33302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30400</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31104</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31221</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31404</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30500</w:t>
            </w:r>
          </w:p>
        </w:tc>
        <w:tc>
          <w:tcPr>
            <w:tcW w:w="31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31105</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31222</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31323</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68"/>
        </w:trPr>
        <w:tc>
          <w:tcPr>
            <w:tcW w:w="196"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17"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3"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15"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31106</w:t>
            </w:r>
          </w:p>
        </w:tc>
        <w:tc>
          <w:tcPr>
            <w:tcW w:w="279"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2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2"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69"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bl>
    <w:p w:rsidR="006D04C4" w:rsidRPr="00C80AD0" w:rsidRDefault="006D04C4" w:rsidP="006D04C4">
      <w:r w:rsidRPr="00C80AD0">
        <w:rPr>
          <w:rFonts w:ascii="Calibri" w:hAnsi="Calibri" w:cs="Calibri"/>
          <w:noProof/>
          <w:sz w:val="18"/>
          <w:szCs w:val="18"/>
        </w:rPr>
        <w:t>Kilde: DemoGrafix.</w:t>
      </w:r>
    </w:p>
    <w:p w:rsidR="006D04C4" w:rsidRPr="00C80AD0" w:rsidRDefault="006D04C4" w:rsidP="006D04C4"/>
    <w:p w:rsidR="006D04C4" w:rsidRPr="00347284" w:rsidRDefault="006D04C4" w:rsidP="006D04C4">
      <w:pPr>
        <w:pStyle w:val="Billedtekst"/>
        <w:rPr>
          <w:rFonts w:ascii="Arial" w:hAnsi="Arial" w:cs="Arial"/>
        </w:rPr>
      </w:pPr>
      <w:r w:rsidRPr="00347284">
        <w:rPr>
          <w:rFonts w:ascii="Arial" w:hAnsi="Arial" w:cs="Arial"/>
          <w:b/>
        </w:rPr>
        <w:t>Figur</w:t>
      </w:r>
      <w:r w:rsidR="00347284" w:rsidRPr="00347284">
        <w:rPr>
          <w:rFonts w:ascii="Arial" w:hAnsi="Arial" w:cs="Arial"/>
          <w:b/>
        </w:rPr>
        <w:t xml:space="preserve"> 16</w:t>
      </w:r>
      <w:r w:rsidRPr="00347284">
        <w:rPr>
          <w:rFonts w:ascii="Arial" w:hAnsi="Arial" w:cs="Arial"/>
          <w:b/>
        </w:rPr>
        <w:t>.</w:t>
      </w:r>
      <w:r w:rsidRPr="00347284">
        <w:rPr>
          <w:rFonts w:ascii="Arial" w:hAnsi="Arial" w:cs="Arial"/>
        </w:rPr>
        <w:t xml:space="preserve"> Sammensætningen af distrikter – særområder - Parkerne.</w:t>
      </w:r>
    </w:p>
    <w:p w:rsidR="006D04C4" w:rsidRPr="00C80AD0" w:rsidRDefault="006D04C4" w:rsidP="006D04C4">
      <w:r w:rsidRPr="00C80AD0">
        <w:rPr>
          <w:noProof/>
        </w:rPr>
        <w:lastRenderedPageBreak/>
        <w:drawing>
          <wp:inline distT="0" distB="0" distL="0" distR="0" wp14:anchorId="23228563" wp14:editId="7E63EA9F">
            <wp:extent cx="6115050" cy="4657725"/>
            <wp:effectExtent l="0" t="0" r="0" b="9525"/>
            <wp:docPr id="29" name="Billede 29" descr="Park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rker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4657725"/>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Kilde: DemoGrafix.</w:t>
      </w:r>
    </w:p>
    <w:p w:rsidR="006D04C4" w:rsidRPr="00C80AD0" w:rsidRDefault="006D04C4" w:rsidP="006D04C4"/>
    <w:p w:rsidR="006D04C4" w:rsidRPr="00C80AD0" w:rsidRDefault="006D04C4" w:rsidP="006D04C4">
      <w:pPr>
        <w:pStyle w:val="Billedtekst"/>
      </w:pPr>
      <w:r w:rsidRPr="00347284">
        <w:rPr>
          <w:rFonts w:ascii="Arial" w:hAnsi="Arial" w:cs="Arial"/>
          <w:b/>
        </w:rPr>
        <w:t>Figur</w:t>
      </w:r>
      <w:r w:rsidR="00347284" w:rsidRPr="00347284">
        <w:rPr>
          <w:rFonts w:ascii="Arial" w:hAnsi="Arial" w:cs="Arial"/>
          <w:b/>
        </w:rPr>
        <w:t xml:space="preserve"> 17</w:t>
      </w:r>
      <w:r w:rsidRPr="00347284">
        <w:rPr>
          <w:rFonts w:ascii="Arial" w:hAnsi="Arial" w:cs="Arial"/>
        </w:rPr>
        <w:t>. Sammensætningen af distrikter – særområder - Boliger nord for Parkerne</w:t>
      </w:r>
      <w:r w:rsidRPr="00C80AD0">
        <w:t>.</w:t>
      </w:r>
    </w:p>
    <w:p w:rsidR="006D04C4" w:rsidRPr="00C80AD0" w:rsidRDefault="006D04C4" w:rsidP="006D04C4">
      <w:r w:rsidRPr="00C80AD0">
        <w:rPr>
          <w:noProof/>
        </w:rPr>
        <w:lastRenderedPageBreak/>
        <w:drawing>
          <wp:inline distT="0" distB="0" distL="0" distR="0" wp14:anchorId="5A2CD6C9" wp14:editId="0538D522">
            <wp:extent cx="6115050" cy="4810125"/>
            <wp:effectExtent l="0" t="0" r="0" b="9525"/>
            <wp:docPr id="30" name="Billede 30" descr="BoligerNordForPark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ligerNordForParker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5050" cy="4810125"/>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Kilde: DemoGrafix.</w:t>
      </w:r>
    </w:p>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347284" w:rsidRDefault="00347284" w:rsidP="006D04C4"/>
    <w:p w:rsidR="00347284" w:rsidRDefault="0034728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Pr="00C80AD0" w:rsidRDefault="006D04C4" w:rsidP="006D04C4"/>
    <w:p w:rsidR="006D04C4" w:rsidRPr="00C80AD0" w:rsidRDefault="006D04C4" w:rsidP="006D04C4">
      <w:pPr>
        <w:pStyle w:val="Billedtekst"/>
      </w:pPr>
      <w:r w:rsidRPr="00347284">
        <w:rPr>
          <w:rFonts w:ascii="Arial" w:hAnsi="Arial" w:cs="Arial"/>
          <w:b/>
        </w:rPr>
        <w:t xml:space="preserve">Figur </w:t>
      </w:r>
      <w:r w:rsidRPr="00347284">
        <w:rPr>
          <w:rFonts w:ascii="Arial" w:hAnsi="Arial" w:cs="Arial"/>
          <w:b/>
        </w:rPr>
        <w:fldChar w:fldCharType="begin"/>
      </w:r>
      <w:r w:rsidRPr="00347284">
        <w:rPr>
          <w:rFonts w:ascii="Arial" w:hAnsi="Arial" w:cs="Arial"/>
          <w:b/>
        </w:rPr>
        <w:instrText xml:space="preserve"> SEQ Figur \* ARABIC </w:instrText>
      </w:r>
      <w:r w:rsidRPr="00347284">
        <w:rPr>
          <w:rFonts w:ascii="Arial" w:hAnsi="Arial" w:cs="Arial"/>
          <w:b/>
        </w:rPr>
        <w:fldChar w:fldCharType="separate"/>
      </w:r>
      <w:r w:rsidR="00347284" w:rsidRPr="00347284">
        <w:rPr>
          <w:rFonts w:ascii="Arial" w:hAnsi="Arial" w:cs="Arial"/>
          <w:b/>
          <w:noProof/>
        </w:rPr>
        <w:t>18</w:t>
      </w:r>
      <w:r w:rsidRPr="00347284">
        <w:rPr>
          <w:rFonts w:ascii="Arial" w:hAnsi="Arial" w:cs="Arial"/>
          <w:b/>
        </w:rPr>
        <w:fldChar w:fldCharType="end"/>
      </w:r>
      <w:r w:rsidRPr="00347284">
        <w:rPr>
          <w:rFonts w:ascii="Arial" w:hAnsi="Arial" w:cs="Arial"/>
          <w:b/>
        </w:rPr>
        <w:t>.</w:t>
      </w:r>
      <w:r w:rsidRPr="00347284">
        <w:rPr>
          <w:rFonts w:ascii="Arial" w:hAnsi="Arial" w:cs="Arial"/>
        </w:rPr>
        <w:t xml:space="preserve"> Sammensætningen af distrikter – særområder - Kvarterløft</w:t>
      </w:r>
      <w:r w:rsidRPr="00C80AD0">
        <w:t>.</w:t>
      </w:r>
    </w:p>
    <w:p w:rsidR="006D04C4" w:rsidRPr="00C80AD0" w:rsidRDefault="006D04C4" w:rsidP="006D04C4">
      <w:r w:rsidRPr="00C80AD0">
        <w:rPr>
          <w:noProof/>
        </w:rPr>
        <w:drawing>
          <wp:inline distT="0" distB="0" distL="0" distR="0" wp14:anchorId="70553358" wp14:editId="0F9FA770">
            <wp:extent cx="6115050" cy="4810125"/>
            <wp:effectExtent l="0" t="0" r="0" b="9525"/>
            <wp:docPr id="31" name="Billede 31" descr="Kvarterlø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varterløf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4810125"/>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 xml:space="preserve">Kilde: DemoGrafix. </w:t>
      </w:r>
    </w:p>
    <w:p w:rsidR="006D04C4" w:rsidRPr="00C80AD0" w:rsidRDefault="006D04C4" w:rsidP="006D04C4">
      <w:pPr>
        <w:pStyle w:val="Billedtekst"/>
      </w:pPr>
      <w:r w:rsidRPr="00C80AD0">
        <w:rPr>
          <w:b/>
        </w:rPr>
        <w:br w:type="page"/>
      </w:r>
      <w:r w:rsidRPr="00C80AD0">
        <w:rPr>
          <w:b/>
        </w:rPr>
        <w:lastRenderedPageBreak/>
        <w:t>Tabel</w:t>
      </w:r>
      <w:r w:rsidR="00347284">
        <w:rPr>
          <w:b/>
        </w:rPr>
        <w:t xml:space="preserve"> 10</w:t>
      </w:r>
      <w:r w:rsidRPr="00C80AD0">
        <w:rPr>
          <w:b/>
        </w:rPr>
        <w:t>.</w:t>
      </w:r>
      <w:r w:rsidRPr="00C80AD0">
        <w:t xml:space="preserve"> Sammensætning af distrikter - sogne.</w:t>
      </w:r>
    </w:p>
    <w:tbl>
      <w:tblPr>
        <w:tblW w:w="5161" w:type="pct"/>
        <w:tblCellMar>
          <w:left w:w="70" w:type="dxa"/>
          <w:right w:w="70" w:type="dxa"/>
        </w:tblCellMar>
        <w:tblLook w:val="04A0" w:firstRow="1" w:lastRow="0" w:firstColumn="1" w:lastColumn="0" w:noHBand="0" w:noVBand="1"/>
      </w:tblPr>
      <w:tblGrid>
        <w:gridCol w:w="450"/>
        <w:gridCol w:w="1841"/>
        <w:gridCol w:w="811"/>
        <w:gridCol w:w="810"/>
        <w:gridCol w:w="641"/>
        <w:gridCol w:w="641"/>
        <w:gridCol w:w="641"/>
        <w:gridCol w:w="641"/>
        <w:gridCol w:w="641"/>
        <w:gridCol w:w="641"/>
        <w:gridCol w:w="641"/>
        <w:gridCol w:w="641"/>
        <w:gridCol w:w="641"/>
        <w:gridCol w:w="191"/>
        <w:gridCol w:w="191"/>
        <w:gridCol w:w="191"/>
      </w:tblGrid>
      <w:tr w:rsidR="006D04C4" w:rsidRPr="00347284" w:rsidTr="001D67AB">
        <w:trPr>
          <w:trHeight w:val="255"/>
        </w:trPr>
        <w:tc>
          <w:tcPr>
            <w:tcW w:w="191"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b/>
                <w:bCs/>
                <w:color w:val="000000"/>
                <w:sz w:val="18"/>
                <w:szCs w:val="18"/>
              </w:rPr>
            </w:pPr>
            <w:r w:rsidRPr="00347284">
              <w:rPr>
                <w:rFonts w:cs="Arial"/>
                <w:b/>
                <w:bCs/>
                <w:color w:val="000000"/>
                <w:sz w:val="18"/>
                <w:szCs w:val="18"/>
              </w:rPr>
              <w:t>NR.</w:t>
            </w:r>
          </w:p>
        </w:tc>
        <w:tc>
          <w:tcPr>
            <w:tcW w:w="90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D04C4" w:rsidRPr="00347284" w:rsidRDefault="006D04C4" w:rsidP="001D67AB">
            <w:pPr>
              <w:rPr>
                <w:rFonts w:cs="Arial"/>
                <w:b/>
                <w:bCs/>
                <w:color w:val="000000"/>
                <w:sz w:val="18"/>
                <w:szCs w:val="18"/>
              </w:rPr>
            </w:pPr>
            <w:r w:rsidRPr="00347284">
              <w:rPr>
                <w:rFonts w:cs="Arial"/>
                <w:b/>
                <w:bCs/>
                <w:color w:val="000000"/>
                <w:sz w:val="18"/>
                <w:szCs w:val="18"/>
              </w:rPr>
              <w:t>DISTRIKT</w:t>
            </w:r>
          </w:p>
        </w:tc>
        <w:tc>
          <w:tcPr>
            <w:tcW w:w="609" w:type="pct"/>
            <w:gridSpan w:val="2"/>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b/>
                <w:bCs/>
                <w:color w:val="000000"/>
                <w:sz w:val="18"/>
                <w:szCs w:val="18"/>
              </w:rPr>
            </w:pPr>
            <w:r w:rsidRPr="00347284">
              <w:rPr>
                <w:rFonts w:cs="Arial"/>
                <w:b/>
                <w:bCs/>
                <w:color w:val="000000"/>
                <w:sz w:val="18"/>
                <w:szCs w:val="18"/>
              </w:rPr>
              <w:t>BASISOMRÅDER</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single" w:sz="4" w:space="0" w:color="auto"/>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221</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Brøndbyvester sogn</w:t>
            </w:r>
          </w:p>
        </w:tc>
        <w:tc>
          <w:tcPr>
            <w:tcW w:w="305" w:type="pct"/>
            <w:tcBorders>
              <w:top w:val="single" w:sz="4" w:space="0" w:color="auto"/>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20100</w:t>
            </w:r>
          </w:p>
        </w:tc>
        <w:tc>
          <w:tcPr>
            <w:tcW w:w="30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21100</w:t>
            </w:r>
          </w:p>
        </w:tc>
        <w:tc>
          <w:tcPr>
            <w:tcW w:w="27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22100</w:t>
            </w:r>
          </w:p>
        </w:tc>
        <w:tc>
          <w:tcPr>
            <w:tcW w:w="27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23100</w:t>
            </w:r>
          </w:p>
        </w:tc>
        <w:tc>
          <w:tcPr>
            <w:tcW w:w="27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24100</w:t>
            </w:r>
          </w:p>
        </w:tc>
        <w:tc>
          <w:tcPr>
            <w:tcW w:w="27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25101</w:t>
            </w:r>
          </w:p>
        </w:tc>
        <w:tc>
          <w:tcPr>
            <w:tcW w:w="27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26110</w:t>
            </w:r>
          </w:p>
        </w:tc>
        <w:tc>
          <w:tcPr>
            <w:tcW w:w="275" w:type="pct"/>
            <w:tcBorders>
              <w:top w:val="single" w:sz="4" w:space="0" w:color="auto"/>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27100</w:t>
            </w:r>
          </w:p>
        </w:tc>
        <w:tc>
          <w:tcPr>
            <w:tcW w:w="275"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single" w:sz="4" w:space="0" w:color="auto"/>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20200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21200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22201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23200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24201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25102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26120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27200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20300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21300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22202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23300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24202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25103</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26130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27300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21400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22203</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23400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24310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25200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26200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21500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22204</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23500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24320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25300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26301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23600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24520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26302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24510</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222</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Brøndbyøster sogn</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12501</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14100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15101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16102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17110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18000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19401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12502</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14200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15102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16200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17120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19402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14300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15200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17130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14400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15300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17200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13500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single" w:sz="4" w:space="0" w:color="auto"/>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223</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Brøndby Strand sogn</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30100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31311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32100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35100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36000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37100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30200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31312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32200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35200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37200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30300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31103</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31213</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31403</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32300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33301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34301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35300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30400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31104</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31221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31404</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33302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34302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35400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30500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31105</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31222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31323</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34400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31106</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33500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34501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DCE6F1"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34502</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34600</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224</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Nygårds sogn</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10100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11101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12101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16101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19100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10200</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11102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12102</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19200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11200</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12200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19300</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11301</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12301</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nil"/>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11302</w:t>
            </w:r>
          </w:p>
        </w:tc>
        <w:tc>
          <w:tcPr>
            <w:tcW w:w="275" w:type="pct"/>
            <w:tcBorders>
              <w:top w:val="nil"/>
              <w:left w:val="nil"/>
              <w:bottom w:val="nil"/>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12302</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nil"/>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r w:rsidR="006D04C4" w:rsidRPr="00347284" w:rsidTr="001D67AB">
        <w:trPr>
          <w:trHeight w:val="255"/>
        </w:trPr>
        <w:tc>
          <w:tcPr>
            <w:tcW w:w="191" w:type="pct"/>
            <w:tcBorders>
              <w:top w:val="nil"/>
              <w:left w:val="nil"/>
              <w:bottom w:val="single" w:sz="4" w:space="0" w:color="auto"/>
              <w:right w:val="nil"/>
            </w:tcBorders>
            <w:shd w:val="clear" w:color="000000" w:fill="FFFFFF"/>
            <w:noWrap/>
            <w:vAlign w:val="bottom"/>
            <w:hideMark/>
          </w:tcPr>
          <w:p w:rsidR="006D04C4" w:rsidRPr="00347284" w:rsidRDefault="006D04C4" w:rsidP="001D67AB">
            <w:pPr>
              <w:jc w:val="center"/>
              <w:rPr>
                <w:rFonts w:cs="Arial"/>
                <w:color w:val="000000"/>
                <w:sz w:val="18"/>
                <w:szCs w:val="18"/>
              </w:rPr>
            </w:pPr>
            <w:r w:rsidRPr="00347284">
              <w:rPr>
                <w:rFonts w:cs="Arial"/>
                <w:color w:val="000000"/>
                <w:sz w:val="18"/>
                <w:szCs w:val="18"/>
              </w:rPr>
              <w:t> </w:t>
            </w:r>
          </w:p>
        </w:tc>
        <w:tc>
          <w:tcPr>
            <w:tcW w:w="900"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single" w:sz="4" w:space="0" w:color="auto"/>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305"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11400</w:t>
            </w:r>
          </w:p>
        </w:tc>
        <w:tc>
          <w:tcPr>
            <w:tcW w:w="275" w:type="pct"/>
            <w:tcBorders>
              <w:top w:val="nil"/>
              <w:left w:val="nil"/>
              <w:bottom w:val="single" w:sz="4" w:space="0" w:color="auto"/>
              <w:right w:val="nil"/>
            </w:tcBorders>
            <w:shd w:val="clear" w:color="DCE6F1" w:fill="FFFFFF"/>
            <w:noWrap/>
            <w:vAlign w:val="bottom"/>
            <w:hideMark/>
          </w:tcPr>
          <w:p w:rsidR="006D04C4" w:rsidRPr="00347284" w:rsidRDefault="006D04C4" w:rsidP="001D67AB">
            <w:pPr>
              <w:jc w:val="right"/>
              <w:rPr>
                <w:rFonts w:cs="Arial"/>
                <w:color w:val="000000"/>
                <w:sz w:val="18"/>
                <w:szCs w:val="18"/>
              </w:rPr>
            </w:pPr>
            <w:r w:rsidRPr="00347284">
              <w:rPr>
                <w:rFonts w:cs="Arial"/>
                <w:color w:val="000000"/>
                <w:sz w:val="18"/>
                <w:szCs w:val="18"/>
              </w:rPr>
              <w:t>12400</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5"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6"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c>
          <w:tcPr>
            <w:tcW w:w="274" w:type="pct"/>
            <w:tcBorders>
              <w:top w:val="nil"/>
              <w:left w:val="nil"/>
              <w:bottom w:val="single" w:sz="4" w:space="0" w:color="auto"/>
              <w:right w:val="nil"/>
            </w:tcBorders>
            <w:shd w:val="clear" w:color="000000" w:fill="FFFFFF"/>
            <w:noWrap/>
            <w:vAlign w:val="bottom"/>
            <w:hideMark/>
          </w:tcPr>
          <w:p w:rsidR="006D04C4" w:rsidRPr="00347284" w:rsidRDefault="006D04C4" w:rsidP="001D67AB">
            <w:pPr>
              <w:rPr>
                <w:rFonts w:cs="Arial"/>
                <w:color w:val="000000"/>
                <w:sz w:val="18"/>
                <w:szCs w:val="18"/>
              </w:rPr>
            </w:pPr>
            <w:r w:rsidRPr="00347284">
              <w:rPr>
                <w:rFonts w:cs="Arial"/>
                <w:color w:val="000000"/>
                <w:sz w:val="18"/>
                <w:szCs w:val="18"/>
              </w:rPr>
              <w:t> </w:t>
            </w:r>
          </w:p>
        </w:tc>
      </w:tr>
    </w:tbl>
    <w:p w:rsidR="006D04C4" w:rsidRPr="00C80AD0" w:rsidRDefault="006D04C4" w:rsidP="006D04C4">
      <w:r w:rsidRPr="00C80AD0">
        <w:rPr>
          <w:rFonts w:ascii="Calibri" w:hAnsi="Calibri" w:cs="Calibri"/>
          <w:noProof/>
          <w:sz w:val="18"/>
          <w:szCs w:val="18"/>
        </w:rPr>
        <w:t>Kilde: DemoGrafix.</w:t>
      </w:r>
    </w:p>
    <w:p w:rsidR="006D04C4" w:rsidRPr="00C80AD0"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6D04C4" w:rsidRDefault="006D04C4" w:rsidP="006D04C4"/>
    <w:p w:rsidR="00132BAA" w:rsidRDefault="00132BAA" w:rsidP="006D04C4"/>
    <w:p w:rsidR="00132BAA" w:rsidRPr="00C80AD0" w:rsidRDefault="00132BAA" w:rsidP="006D04C4"/>
    <w:p w:rsidR="006D04C4" w:rsidRPr="00347284" w:rsidRDefault="006D04C4" w:rsidP="006D04C4">
      <w:pPr>
        <w:pStyle w:val="Billedtekst"/>
        <w:rPr>
          <w:rFonts w:ascii="Arial" w:hAnsi="Arial" w:cs="Arial"/>
        </w:rPr>
      </w:pPr>
      <w:r w:rsidRPr="00347284">
        <w:rPr>
          <w:rFonts w:ascii="Arial" w:hAnsi="Arial" w:cs="Arial"/>
          <w:b/>
        </w:rPr>
        <w:t>Figur</w:t>
      </w:r>
      <w:r w:rsidR="00347284">
        <w:rPr>
          <w:rFonts w:ascii="Arial" w:hAnsi="Arial" w:cs="Arial"/>
          <w:b/>
        </w:rPr>
        <w:t xml:space="preserve"> </w:t>
      </w:r>
      <w:r w:rsidR="00347284" w:rsidRPr="00347284">
        <w:rPr>
          <w:rFonts w:ascii="Arial" w:hAnsi="Arial" w:cs="Arial"/>
          <w:b/>
        </w:rPr>
        <w:t>19</w:t>
      </w:r>
      <w:r w:rsidRPr="00347284">
        <w:rPr>
          <w:rFonts w:ascii="Arial" w:hAnsi="Arial" w:cs="Arial"/>
          <w:b/>
        </w:rPr>
        <w:t>.</w:t>
      </w:r>
      <w:r w:rsidRPr="00347284">
        <w:rPr>
          <w:rFonts w:ascii="Arial" w:hAnsi="Arial" w:cs="Arial"/>
        </w:rPr>
        <w:t xml:space="preserve"> Sammensætningen af distrikter – sogne.</w:t>
      </w:r>
    </w:p>
    <w:p w:rsidR="006D04C4" w:rsidRPr="00C80AD0" w:rsidRDefault="006D04C4" w:rsidP="006D04C4">
      <w:r w:rsidRPr="00C80AD0">
        <w:rPr>
          <w:noProof/>
        </w:rPr>
        <w:drawing>
          <wp:inline distT="0" distB="0" distL="0" distR="0" wp14:anchorId="7AE73FE3" wp14:editId="148ADD41">
            <wp:extent cx="6115050" cy="4810125"/>
            <wp:effectExtent l="0" t="0" r="0" b="9525"/>
            <wp:docPr id="32" name="Billede 32" descr="S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og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4810125"/>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Kilde: DemoGrafix.</w:t>
      </w:r>
    </w:p>
    <w:p w:rsidR="006D04C4" w:rsidRPr="00C80AD0" w:rsidRDefault="006D04C4" w:rsidP="006D04C4">
      <w:pPr>
        <w:sectPr w:rsidR="006D04C4" w:rsidRPr="00C80AD0" w:rsidSect="004D55B5">
          <w:headerReference w:type="default" r:id="rId28"/>
          <w:footerReference w:type="even" r:id="rId29"/>
          <w:footerReference w:type="default" r:id="rId30"/>
          <w:endnotePr>
            <w:numFmt w:val="decimal"/>
          </w:endnotePr>
          <w:pgSz w:w="11900" w:h="16840"/>
          <w:pgMar w:top="153" w:right="1127" w:bottom="1440" w:left="1134" w:header="345" w:footer="239" w:gutter="0"/>
          <w:pgNumType w:start="0"/>
          <w:cols w:space="708"/>
          <w:titlePg/>
          <w:docGrid w:linePitch="299"/>
        </w:sectPr>
      </w:pPr>
    </w:p>
    <w:p w:rsidR="006D04C4" w:rsidRPr="00132BAA" w:rsidRDefault="006D04C4" w:rsidP="006D04C4">
      <w:pPr>
        <w:pStyle w:val="Billedtekst"/>
        <w:rPr>
          <w:rFonts w:ascii="Arial" w:hAnsi="Arial" w:cs="Arial"/>
        </w:rPr>
      </w:pPr>
      <w:r w:rsidRPr="00132BAA">
        <w:rPr>
          <w:rFonts w:ascii="Arial" w:hAnsi="Arial" w:cs="Arial"/>
          <w:b/>
        </w:rPr>
        <w:lastRenderedPageBreak/>
        <w:t>Tabel</w:t>
      </w:r>
      <w:r w:rsidR="00132BAA" w:rsidRPr="00132BAA">
        <w:rPr>
          <w:rFonts w:ascii="Arial" w:hAnsi="Arial" w:cs="Arial"/>
          <w:b/>
        </w:rPr>
        <w:t xml:space="preserve"> 11</w:t>
      </w:r>
      <w:r w:rsidRPr="00132BAA">
        <w:rPr>
          <w:rFonts w:ascii="Arial" w:hAnsi="Arial" w:cs="Arial"/>
          <w:b/>
        </w:rPr>
        <w:t>.</w:t>
      </w:r>
      <w:r w:rsidRPr="00132BAA">
        <w:rPr>
          <w:rFonts w:ascii="Arial" w:hAnsi="Arial" w:cs="Arial"/>
        </w:rPr>
        <w:t xml:space="preserve"> Sammensætning af parameterområder.</w:t>
      </w:r>
    </w:p>
    <w:tbl>
      <w:tblPr>
        <w:tblW w:w="5000" w:type="pct"/>
        <w:tblCellMar>
          <w:left w:w="70" w:type="dxa"/>
          <w:right w:w="70" w:type="dxa"/>
        </w:tblCellMar>
        <w:tblLook w:val="04A0" w:firstRow="1" w:lastRow="0" w:firstColumn="1" w:lastColumn="0" w:noHBand="0" w:noVBand="1"/>
      </w:tblPr>
      <w:tblGrid>
        <w:gridCol w:w="660"/>
        <w:gridCol w:w="2569"/>
        <w:gridCol w:w="660"/>
        <w:gridCol w:w="660"/>
        <w:gridCol w:w="660"/>
        <w:gridCol w:w="660"/>
        <w:gridCol w:w="660"/>
        <w:gridCol w:w="660"/>
        <w:gridCol w:w="660"/>
        <w:gridCol w:w="661"/>
        <w:gridCol w:w="661"/>
        <w:gridCol w:w="661"/>
        <w:gridCol w:w="661"/>
        <w:gridCol w:w="661"/>
        <w:gridCol w:w="661"/>
        <w:gridCol w:w="661"/>
        <w:gridCol w:w="661"/>
        <w:gridCol w:w="661"/>
        <w:gridCol w:w="661"/>
        <w:gridCol w:w="652"/>
      </w:tblGrid>
      <w:tr w:rsidR="006D04C4" w:rsidRPr="00C80AD0" w:rsidTr="001D67AB">
        <w:trPr>
          <w:trHeight w:val="255"/>
        </w:trPr>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b/>
                <w:bCs/>
                <w:color w:val="000000"/>
                <w:sz w:val="16"/>
                <w:szCs w:val="16"/>
              </w:rPr>
            </w:pPr>
            <w:r w:rsidRPr="00C80AD0">
              <w:rPr>
                <w:rFonts w:asciiTheme="minorHAnsi" w:hAnsiTheme="minorHAnsi" w:cstheme="minorHAnsi"/>
                <w:b/>
                <w:bCs/>
                <w:color w:val="000000"/>
                <w:sz w:val="16"/>
                <w:szCs w:val="16"/>
              </w:rPr>
              <w:t>Nr.</w:t>
            </w:r>
          </w:p>
        </w:tc>
        <w:tc>
          <w:tcPr>
            <w:tcW w:w="842" w:type="pct"/>
            <w:tcBorders>
              <w:top w:val="single" w:sz="4" w:space="0" w:color="auto"/>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b/>
                <w:bCs/>
                <w:color w:val="000000"/>
                <w:sz w:val="16"/>
                <w:szCs w:val="16"/>
              </w:rPr>
            </w:pPr>
            <w:r w:rsidRPr="00C80AD0">
              <w:rPr>
                <w:rFonts w:asciiTheme="minorHAnsi" w:hAnsiTheme="minorHAnsi" w:cstheme="minorHAnsi"/>
                <w:b/>
                <w:bCs/>
                <w:color w:val="000000"/>
                <w:sz w:val="16"/>
                <w:szCs w:val="16"/>
              </w:rPr>
              <w:t>Parameterområde</w:t>
            </w:r>
          </w:p>
        </w:tc>
        <w:tc>
          <w:tcPr>
            <w:tcW w:w="438" w:type="pct"/>
            <w:gridSpan w:val="2"/>
            <w:tcBorders>
              <w:top w:val="single" w:sz="4" w:space="0" w:color="auto"/>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b/>
                <w:bCs/>
                <w:color w:val="000000"/>
                <w:sz w:val="16"/>
                <w:szCs w:val="16"/>
              </w:rPr>
            </w:pPr>
            <w:r w:rsidRPr="00C80AD0">
              <w:rPr>
                <w:rFonts w:asciiTheme="minorHAnsi" w:hAnsiTheme="minorHAnsi" w:cstheme="minorHAnsi"/>
                <w:b/>
                <w:bCs/>
                <w:color w:val="000000"/>
                <w:sz w:val="16"/>
                <w:szCs w:val="16"/>
              </w:rPr>
              <w:t>Basisområder</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single" w:sz="4" w:space="0" w:color="auto"/>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Parcel og række, lav aktivitet</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12101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13400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14200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15101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20200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21200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23100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24510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26120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30100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32200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34100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13500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14300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15102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24520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26130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30200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34301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12301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15200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26302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34501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12302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15300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34600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12501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12502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w:t>
            </w:r>
          </w:p>
        </w:tc>
        <w:tc>
          <w:tcPr>
            <w:tcW w:w="842" w:type="pct"/>
            <w:tcBorders>
              <w:top w:val="single" w:sz="4" w:space="0" w:color="auto"/>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Parcel og række, med unge</w:t>
            </w:r>
          </w:p>
        </w:tc>
        <w:tc>
          <w:tcPr>
            <w:tcW w:w="219" w:type="pct"/>
            <w:tcBorders>
              <w:top w:val="single" w:sz="4" w:space="0" w:color="auto"/>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22203</w:t>
            </w:r>
          </w:p>
        </w:tc>
        <w:tc>
          <w:tcPr>
            <w:tcW w:w="219" w:type="pct"/>
            <w:tcBorders>
              <w:top w:val="single" w:sz="4" w:space="0" w:color="auto"/>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26110</w:t>
            </w:r>
          </w:p>
        </w:tc>
        <w:tc>
          <w:tcPr>
            <w:tcW w:w="219" w:type="pct"/>
            <w:tcBorders>
              <w:top w:val="single" w:sz="4" w:space="0" w:color="auto"/>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30300</w:t>
            </w:r>
          </w:p>
        </w:tc>
        <w:tc>
          <w:tcPr>
            <w:tcW w:w="219" w:type="pct"/>
            <w:tcBorders>
              <w:top w:val="single" w:sz="4" w:space="0" w:color="auto"/>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34400</w:t>
            </w:r>
          </w:p>
        </w:tc>
        <w:tc>
          <w:tcPr>
            <w:tcW w:w="219" w:type="pct"/>
            <w:tcBorders>
              <w:top w:val="single" w:sz="4" w:space="0" w:color="auto"/>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35100</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single" w:sz="4" w:space="0" w:color="auto"/>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22204</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26301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30400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35200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30500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35300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35400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Parcel og række, middel aktivitet</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20300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21100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22100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23300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24202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25103</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33200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23500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34302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Etage, blandet, høj aktivitet, unge</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11102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13200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24310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33301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11301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24320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33400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11302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Etage, punkthuse, parkerne og vester</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10100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13100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14100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16101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17110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18000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19100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20100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21300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22201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23200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25102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26200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27100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31105</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32100</w:t>
            </w:r>
          </w:p>
        </w:tc>
        <w:tc>
          <w:tcPr>
            <w:tcW w:w="216"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33100</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10200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14400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16102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17130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19200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21400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22202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23400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24201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25200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27200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31212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32300</w:t>
            </w:r>
          </w:p>
        </w:tc>
        <w:tc>
          <w:tcPr>
            <w:tcW w:w="216"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36000</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16200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17200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19300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21500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23600</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27300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31321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37100</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19401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31401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37200</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19402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13</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Etage, blokke, parkerne, øster</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13300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31104</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31211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31311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31402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31221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31322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14</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Parkerne, to etager o.a., jævn alder</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11101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31101</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31213</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31312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31403</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31103</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31222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31323</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31404</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97</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Konstantområde, efterskole</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25101</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98</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Konstantområde, botilbud</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17120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31106</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34502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99</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Konstantområde, ældre</w:t>
            </w:r>
          </w:p>
        </w:tc>
        <w:tc>
          <w:tcPr>
            <w:tcW w:w="219" w:type="pct"/>
            <w:tcBorders>
              <w:top w:val="nil"/>
              <w:left w:val="single" w:sz="4" w:space="0" w:color="auto"/>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11400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12102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24400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25300</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31102</w:t>
            </w:r>
          </w:p>
        </w:tc>
        <w:tc>
          <w:tcPr>
            <w:tcW w:w="219" w:type="pct"/>
            <w:tcBorders>
              <w:top w:val="nil"/>
              <w:left w:val="nil"/>
              <w:bottom w:val="nil"/>
              <w:right w:val="nil"/>
            </w:tcBorders>
            <w:shd w:val="clear" w:color="DCE6F1" w:fill="FFFFFF"/>
            <w:noWrap/>
            <w:vAlign w:val="bottom"/>
            <w:hideMark/>
          </w:tcPr>
          <w:p w:rsidR="006D04C4" w:rsidRPr="00C80AD0" w:rsidRDefault="006D04C4" w:rsidP="001D67AB">
            <w:pPr>
              <w:jc w:val="right"/>
              <w:rPr>
                <w:rFonts w:asciiTheme="minorHAnsi" w:hAnsiTheme="minorHAnsi" w:cstheme="minorHAnsi"/>
                <w:color w:val="000000"/>
                <w:sz w:val="16"/>
                <w:szCs w:val="16"/>
              </w:rPr>
            </w:pPr>
            <w:r w:rsidRPr="00C80AD0">
              <w:rPr>
                <w:rFonts w:asciiTheme="minorHAnsi" w:hAnsiTheme="minorHAnsi" w:cstheme="minorHAnsi"/>
                <w:color w:val="000000"/>
                <w:sz w:val="16"/>
                <w:szCs w:val="16"/>
              </w:rPr>
              <w:t>33302</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nil"/>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r w:rsidR="006D04C4" w:rsidRPr="00C80AD0" w:rsidTr="001D67AB">
        <w:trPr>
          <w:trHeight w:val="255"/>
        </w:trPr>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842"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single" w:sz="4" w:space="0" w:color="auto"/>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9"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c>
          <w:tcPr>
            <w:tcW w:w="216" w:type="pct"/>
            <w:tcBorders>
              <w:top w:val="nil"/>
              <w:left w:val="nil"/>
              <w:bottom w:val="single" w:sz="4" w:space="0" w:color="auto"/>
              <w:right w:val="nil"/>
            </w:tcBorders>
            <w:shd w:val="clear" w:color="000000" w:fill="FFFFFF"/>
            <w:noWrap/>
            <w:vAlign w:val="bottom"/>
            <w:hideMark/>
          </w:tcPr>
          <w:p w:rsidR="006D04C4" w:rsidRPr="00C80AD0" w:rsidRDefault="006D04C4" w:rsidP="001D67AB">
            <w:pPr>
              <w:rPr>
                <w:rFonts w:asciiTheme="minorHAnsi" w:hAnsiTheme="minorHAnsi" w:cstheme="minorHAnsi"/>
                <w:color w:val="000000"/>
                <w:sz w:val="16"/>
                <w:szCs w:val="16"/>
              </w:rPr>
            </w:pPr>
            <w:r w:rsidRPr="00C80AD0">
              <w:rPr>
                <w:rFonts w:asciiTheme="minorHAnsi" w:hAnsiTheme="minorHAnsi" w:cstheme="minorHAnsi"/>
                <w:color w:val="000000"/>
                <w:sz w:val="16"/>
                <w:szCs w:val="16"/>
              </w:rPr>
              <w:t> </w:t>
            </w:r>
          </w:p>
        </w:tc>
      </w:tr>
    </w:tbl>
    <w:p w:rsidR="006D04C4" w:rsidRPr="00C80AD0" w:rsidRDefault="006D04C4" w:rsidP="006D04C4">
      <w:r w:rsidRPr="00C80AD0">
        <w:rPr>
          <w:rFonts w:ascii="Calibri" w:hAnsi="Calibri" w:cs="Calibri"/>
          <w:noProof/>
          <w:sz w:val="18"/>
          <w:szCs w:val="18"/>
        </w:rPr>
        <w:t>Kilde: DemoGrafix.</w:t>
      </w:r>
    </w:p>
    <w:p w:rsidR="006D04C4" w:rsidRPr="00C80AD0" w:rsidRDefault="006D04C4" w:rsidP="006D04C4">
      <w:pPr>
        <w:sectPr w:rsidR="006D04C4" w:rsidRPr="00C80AD0" w:rsidSect="001D67AB">
          <w:endnotePr>
            <w:numFmt w:val="decimal"/>
          </w:endnotePr>
          <w:pgSz w:w="16840" w:h="11900" w:orient="landscape"/>
          <w:pgMar w:top="1134" w:right="289" w:bottom="1128" w:left="1440" w:header="346" w:footer="238" w:gutter="0"/>
          <w:cols w:space="708"/>
        </w:sectPr>
      </w:pPr>
    </w:p>
    <w:p w:rsidR="006D04C4" w:rsidRPr="00C80AD0" w:rsidRDefault="006D04C4" w:rsidP="006D04C4">
      <w:pPr>
        <w:pStyle w:val="Billedtekst"/>
      </w:pPr>
      <w:r w:rsidRPr="00C80AD0">
        <w:rPr>
          <w:b/>
        </w:rPr>
        <w:lastRenderedPageBreak/>
        <w:t>Figur</w:t>
      </w:r>
      <w:r w:rsidR="00132BAA">
        <w:rPr>
          <w:b/>
        </w:rPr>
        <w:t xml:space="preserve"> 20</w:t>
      </w:r>
      <w:r w:rsidRPr="00C80AD0">
        <w:rPr>
          <w:b/>
        </w:rPr>
        <w:t>.</w:t>
      </w:r>
      <w:r w:rsidRPr="00C80AD0">
        <w:t xml:space="preserve"> Sammensætningen af parameterområder.</w:t>
      </w:r>
    </w:p>
    <w:p w:rsidR="006D04C4" w:rsidRPr="00C80AD0" w:rsidRDefault="006D04C4" w:rsidP="006D04C4">
      <w:r w:rsidRPr="00C80AD0">
        <w:rPr>
          <w:noProof/>
        </w:rPr>
        <w:drawing>
          <wp:inline distT="0" distB="0" distL="0" distR="0" wp14:anchorId="2E56CEC5" wp14:editId="53473255">
            <wp:extent cx="6115050" cy="4810125"/>
            <wp:effectExtent l="0" t="0" r="0" b="9525"/>
            <wp:docPr id="33" name="Billede 33" descr="Parameterområ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rameterområd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5050" cy="4810125"/>
                    </a:xfrm>
                    <a:prstGeom prst="rect">
                      <a:avLst/>
                    </a:prstGeom>
                    <a:noFill/>
                    <a:ln>
                      <a:noFill/>
                    </a:ln>
                  </pic:spPr>
                </pic:pic>
              </a:graphicData>
            </a:graphic>
          </wp:inline>
        </w:drawing>
      </w:r>
    </w:p>
    <w:p w:rsidR="006D04C4" w:rsidRPr="00C80AD0" w:rsidRDefault="006D04C4" w:rsidP="006D04C4">
      <w:pPr>
        <w:rPr>
          <w:rFonts w:asciiTheme="minorHAnsi" w:hAnsiTheme="minorHAnsi" w:cstheme="minorHAnsi"/>
          <w:sz w:val="18"/>
          <w:szCs w:val="18"/>
        </w:rPr>
      </w:pPr>
      <w:r w:rsidRPr="00C80AD0">
        <w:rPr>
          <w:rFonts w:asciiTheme="minorHAnsi" w:hAnsiTheme="minorHAnsi" w:cstheme="minorHAnsi"/>
          <w:sz w:val="18"/>
          <w:szCs w:val="18"/>
        </w:rPr>
        <w:t>Kilde: DemoGrafix.</w:t>
      </w:r>
    </w:p>
    <w:p w:rsidR="006D04C4" w:rsidRPr="00C80AD0" w:rsidRDefault="006D04C4" w:rsidP="006D04C4">
      <w:pPr>
        <w:rPr>
          <w:rFonts w:asciiTheme="minorHAnsi" w:hAnsiTheme="minorHAnsi" w:cstheme="minorHAnsi"/>
          <w:sz w:val="18"/>
          <w:szCs w:val="18"/>
        </w:rPr>
      </w:pPr>
    </w:p>
    <w:p w:rsidR="006D04C4" w:rsidRPr="00C80AD0" w:rsidRDefault="006D04C4" w:rsidP="006D04C4">
      <w:pPr>
        <w:rPr>
          <w:rFonts w:asciiTheme="minorHAnsi" w:hAnsiTheme="minorHAnsi" w:cstheme="minorHAnsi"/>
          <w:sz w:val="18"/>
          <w:szCs w:val="18"/>
        </w:rPr>
      </w:pPr>
    </w:p>
    <w:p w:rsidR="006D04C4" w:rsidRDefault="006D04C4" w:rsidP="003461FA">
      <w:pPr>
        <w:pStyle w:val="Overskrift1"/>
        <w:spacing w:before="0"/>
      </w:pPr>
    </w:p>
    <w:sectPr w:rsidR="006D04C4" w:rsidSect="00E55AE0">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C3C" w:rsidRDefault="00177C3C" w:rsidP="0094707F">
      <w:r>
        <w:separator/>
      </w:r>
    </w:p>
  </w:endnote>
  <w:endnote w:type="continuationSeparator" w:id="0">
    <w:p w:rsidR="00177C3C" w:rsidRDefault="00177C3C" w:rsidP="0094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BCC" w:rsidRDefault="00137BCC" w:rsidP="001D67AB">
    <w:pPr>
      <w:framePr w:wrap="around" w:vAnchor="text" w:hAnchor="margin" w:xAlign="right" w:y="1"/>
    </w:pPr>
    <w:r>
      <w:fldChar w:fldCharType="begin"/>
    </w:r>
    <w:r>
      <w:instrText xml:space="preserve">PAGE  </w:instrText>
    </w:r>
    <w:r>
      <w:fldChar w:fldCharType="end"/>
    </w:r>
  </w:p>
  <w:p w:rsidR="00137BCC" w:rsidRDefault="00137BCC" w:rsidP="001D67AB">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787594"/>
      <w:docPartObj>
        <w:docPartGallery w:val="Page Numbers (Bottom of Page)"/>
        <w:docPartUnique/>
      </w:docPartObj>
    </w:sdtPr>
    <w:sdtEndPr/>
    <w:sdtContent>
      <w:p w:rsidR="00137BCC" w:rsidRDefault="00137BCC">
        <w:pPr>
          <w:pStyle w:val="Sidefod"/>
          <w:jc w:val="right"/>
        </w:pPr>
        <w:r>
          <w:fldChar w:fldCharType="begin"/>
        </w:r>
        <w:r>
          <w:instrText>PAGE   \* MERGEFORMAT</w:instrText>
        </w:r>
        <w:r>
          <w:fldChar w:fldCharType="separate"/>
        </w:r>
        <w:r w:rsidR="00CD5FD4">
          <w:rPr>
            <w:noProof/>
          </w:rPr>
          <w:t>1</w:t>
        </w:r>
        <w:r>
          <w:fldChar w:fldCharType="end"/>
        </w:r>
      </w:p>
    </w:sdtContent>
  </w:sdt>
  <w:p w:rsidR="00137BCC" w:rsidRPr="002732FA" w:rsidRDefault="00137BCC" w:rsidP="001D67A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C3C" w:rsidRDefault="00177C3C" w:rsidP="0094707F">
      <w:r>
        <w:separator/>
      </w:r>
    </w:p>
  </w:footnote>
  <w:footnote w:type="continuationSeparator" w:id="0">
    <w:p w:rsidR="00177C3C" w:rsidRDefault="00177C3C" w:rsidP="0094707F">
      <w:r>
        <w:continuationSeparator/>
      </w:r>
    </w:p>
  </w:footnote>
  <w:footnote w:id="1">
    <w:p w:rsidR="00137BCC" w:rsidRPr="004D55B5" w:rsidRDefault="00137BCC" w:rsidP="006D04C4">
      <w:pPr>
        <w:pStyle w:val="Normal1"/>
        <w:rPr>
          <w:rFonts w:ascii="Arial" w:hAnsi="Arial" w:cs="Arial"/>
          <w:sz w:val="18"/>
          <w:szCs w:val="18"/>
        </w:rPr>
      </w:pPr>
      <w:r w:rsidRPr="00C96C24">
        <w:rPr>
          <w:rStyle w:val="Fodnotehenvisning"/>
          <w:sz w:val="20"/>
          <w:szCs w:val="20"/>
        </w:rPr>
        <w:footnoteRef/>
      </w:r>
      <w:r w:rsidRPr="004D55B5">
        <w:rPr>
          <w:rFonts w:ascii="Arial" w:hAnsi="Arial" w:cs="Arial"/>
          <w:sz w:val="18"/>
          <w:szCs w:val="18"/>
        </w:rPr>
        <w:t xml:space="preserve">Det forventede boligbyggeri baseres på Teknisk Forvaltnings forventede boligbyggeprogram for Brøndby Kommune, og sammenholdes i øvrigt med historik/statistik over antallet af opførte boliger i de seneste 24 år.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Look w:val="01E0" w:firstRow="1" w:lastRow="1" w:firstColumn="1" w:lastColumn="1" w:noHBand="0" w:noVBand="0"/>
    </w:tblPr>
    <w:tblGrid>
      <w:gridCol w:w="9639"/>
    </w:tblGrid>
    <w:tr w:rsidR="00137BCC" w:rsidTr="001D67AB">
      <w:trPr>
        <w:trHeight w:val="703"/>
      </w:trPr>
      <w:tc>
        <w:tcPr>
          <w:tcW w:w="9779" w:type="dxa"/>
          <w:tcBorders>
            <w:top w:val="nil"/>
            <w:left w:val="nil"/>
            <w:bottom w:val="single" w:sz="12" w:space="0" w:color="auto"/>
            <w:right w:val="nil"/>
          </w:tcBorders>
          <w:vAlign w:val="center"/>
        </w:tcPr>
        <w:p w:rsidR="00137BCC" w:rsidRPr="00D46074" w:rsidRDefault="00137BCC" w:rsidP="001D67AB">
          <w:pPr>
            <w:jc w:val="right"/>
            <w:rPr>
              <w:rFonts w:ascii="Trebuchet MS" w:hAnsi="Trebuchet MS"/>
              <w:b/>
              <w:color w:val="000000"/>
              <w:sz w:val="16"/>
              <w:szCs w:val="16"/>
            </w:rPr>
          </w:pPr>
        </w:p>
        <w:p w:rsidR="00137BCC" w:rsidRPr="00D46074" w:rsidRDefault="00137BCC" w:rsidP="00132BAA">
          <w:pPr>
            <w:jc w:val="right"/>
            <w:rPr>
              <w:rFonts w:cs="Arial"/>
              <w:color w:val="000000"/>
              <w:sz w:val="16"/>
              <w:szCs w:val="16"/>
            </w:rPr>
          </w:pPr>
          <w:r w:rsidRPr="00D46074">
            <w:rPr>
              <w:rFonts w:cs="Arial"/>
              <w:color w:val="000000"/>
              <w:sz w:val="16"/>
              <w:szCs w:val="16"/>
            </w:rPr>
            <w:t>Økonomi- og Ressourceforvaltningen</w:t>
          </w:r>
        </w:p>
        <w:p w:rsidR="00137BCC" w:rsidRPr="00D46074" w:rsidRDefault="00137BCC" w:rsidP="001D67AB">
          <w:pPr>
            <w:jc w:val="right"/>
            <w:rPr>
              <w:rFonts w:cs="Arial"/>
              <w:color w:val="000000"/>
              <w:sz w:val="16"/>
              <w:szCs w:val="16"/>
            </w:rPr>
          </w:pPr>
          <w:r w:rsidRPr="00D46074">
            <w:rPr>
              <w:rFonts w:cs="Arial"/>
              <w:color w:val="000000"/>
              <w:sz w:val="16"/>
              <w:szCs w:val="16"/>
            </w:rPr>
            <w:t>BEFOLKNINGSPROGNOSE FOR BRØNDBY KOMMUNE 2020</w:t>
          </w:r>
        </w:p>
        <w:p w:rsidR="00137BCC" w:rsidRPr="00D46074" w:rsidRDefault="00137BCC" w:rsidP="001D67AB">
          <w:pPr>
            <w:jc w:val="center"/>
            <w:rPr>
              <w:rFonts w:asciiTheme="minorHAnsi" w:hAnsiTheme="minorHAnsi" w:cstheme="minorHAnsi"/>
              <w:color w:val="000000"/>
              <w:sz w:val="16"/>
              <w:szCs w:val="16"/>
            </w:rPr>
          </w:pPr>
        </w:p>
        <w:p w:rsidR="00137BCC" w:rsidRPr="00D46074" w:rsidRDefault="00137BCC" w:rsidP="001D67AB">
          <w:pPr>
            <w:rPr>
              <w:rFonts w:ascii="Trebuchet MS" w:hAnsi="Trebuchet MS"/>
              <w:sz w:val="16"/>
              <w:szCs w:val="16"/>
            </w:rPr>
          </w:pPr>
        </w:p>
      </w:tc>
    </w:tr>
  </w:tbl>
  <w:p w:rsidR="00137BCC" w:rsidRDefault="00137BCC" w:rsidP="001D67A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14C"/>
    <w:multiLevelType w:val="hybridMultilevel"/>
    <w:tmpl w:val="B73636B6"/>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2F80AFD"/>
    <w:multiLevelType w:val="hybridMultilevel"/>
    <w:tmpl w:val="DD1C3C88"/>
    <w:lvl w:ilvl="0" w:tplc="D12E5712">
      <w:start w:val="67"/>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741DAA"/>
    <w:multiLevelType w:val="hybridMultilevel"/>
    <w:tmpl w:val="658C41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569EB"/>
    <w:multiLevelType w:val="hybridMultilevel"/>
    <w:tmpl w:val="A5AAF7AA"/>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BB01FBA"/>
    <w:multiLevelType w:val="hybridMultilevel"/>
    <w:tmpl w:val="9DC4F440"/>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C2478CC"/>
    <w:multiLevelType w:val="hybridMultilevel"/>
    <w:tmpl w:val="ECC24CFA"/>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4C07FA"/>
    <w:multiLevelType w:val="hybridMultilevel"/>
    <w:tmpl w:val="87A2E7C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C0133"/>
    <w:multiLevelType w:val="hybridMultilevel"/>
    <w:tmpl w:val="7092F020"/>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1674F70"/>
    <w:multiLevelType w:val="hybridMultilevel"/>
    <w:tmpl w:val="9CB8C3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0250D1"/>
    <w:multiLevelType w:val="hybridMultilevel"/>
    <w:tmpl w:val="4A6A37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84935"/>
    <w:multiLevelType w:val="hybridMultilevel"/>
    <w:tmpl w:val="7ADA7696"/>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6951617"/>
    <w:multiLevelType w:val="hybridMultilevel"/>
    <w:tmpl w:val="460A598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6741A0"/>
    <w:multiLevelType w:val="hybridMultilevel"/>
    <w:tmpl w:val="ACA2764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D649ED"/>
    <w:multiLevelType w:val="hybridMultilevel"/>
    <w:tmpl w:val="7C0A1B6A"/>
    <w:lvl w:ilvl="0" w:tplc="9746EE40">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1FF543F8"/>
    <w:multiLevelType w:val="hybridMultilevel"/>
    <w:tmpl w:val="438A9530"/>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BC535C"/>
    <w:multiLevelType w:val="hybridMultilevel"/>
    <w:tmpl w:val="7D662FB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3E2F92"/>
    <w:multiLevelType w:val="multilevel"/>
    <w:tmpl w:val="A614DF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556969"/>
    <w:multiLevelType w:val="hybridMultilevel"/>
    <w:tmpl w:val="7B82879E"/>
    <w:lvl w:ilvl="0" w:tplc="0C243F80">
      <w:start w:val="26"/>
      <w:numFmt w:val="bullet"/>
      <w:lvlText w:val="-"/>
      <w:lvlJc w:val="left"/>
      <w:pPr>
        <w:tabs>
          <w:tab w:val="num" w:pos="720"/>
        </w:tabs>
        <w:ind w:left="72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EE3673"/>
    <w:multiLevelType w:val="hybridMultilevel"/>
    <w:tmpl w:val="236A006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54665F"/>
    <w:multiLevelType w:val="hybridMultilevel"/>
    <w:tmpl w:val="4154894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A56B2F"/>
    <w:multiLevelType w:val="hybridMultilevel"/>
    <w:tmpl w:val="7ED40068"/>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DFA0E0E"/>
    <w:multiLevelType w:val="hybridMultilevel"/>
    <w:tmpl w:val="D0A28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D5BDD"/>
    <w:multiLevelType w:val="hybridMultilevel"/>
    <w:tmpl w:val="DE6A4C68"/>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39D44FA"/>
    <w:multiLevelType w:val="multilevel"/>
    <w:tmpl w:val="29A63A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59283A"/>
    <w:multiLevelType w:val="multilevel"/>
    <w:tmpl w:val="3134EC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364B75"/>
    <w:multiLevelType w:val="multilevel"/>
    <w:tmpl w:val="7B82879E"/>
    <w:lvl w:ilvl="0">
      <w:start w:val="26"/>
      <w:numFmt w:val="bullet"/>
      <w:lvlText w:val="-"/>
      <w:lvlJc w:val="left"/>
      <w:pPr>
        <w:tabs>
          <w:tab w:val="num" w:pos="720"/>
        </w:tabs>
        <w:ind w:left="720" w:hanging="360"/>
      </w:pPr>
      <w:rPr>
        <w:rFonts w:ascii="Arial" w:eastAsia="GillSans"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BE50E8"/>
    <w:multiLevelType w:val="hybridMultilevel"/>
    <w:tmpl w:val="13DE6D12"/>
    <w:lvl w:ilvl="0" w:tplc="D12E5712">
      <w:start w:val="67"/>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805241B"/>
    <w:multiLevelType w:val="hybridMultilevel"/>
    <w:tmpl w:val="90B619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B206D9"/>
    <w:multiLevelType w:val="multilevel"/>
    <w:tmpl w:val="DBFE1AD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4240D3"/>
    <w:multiLevelType w:val="hybridMultilevel"/>
    <w:tmpl w:val="37DC5F76"/>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2C31BB"/>
    <w:multiLevelType w:val="hybridMultilevel"/>
    <w:tmpl w:val="06B841B0"/>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23D2FC2"/>
    <w:multiLevelType w:val="hybridMultilevel"/>
    <w:tmpl w:val="B5F06EE4"/>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1233A3"/>
    <w:multiLevelType w:val="hybridMultilevel"/>
    <w:tmpl w:val="1F7C3DB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2A350C"/>
    <w:multiLevelType w:val="hybridMultilevel"/>
    <w:tmpl w:val="8FDEBAC4"/>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534C95"/>
    <w:multiLevelType w:val="multilevel"/>
    <w:tmpl w:val="226A7F52"/>
    <w:lvl w:ilvl="0">
      <w:start w:val="1"/>
      <w:numFmt w:val="decimal"/>
      <w:lvlText w:val="%1"/>
      <w:lvlJc w:val="left"/>
      <w:pPr>
        <w:tabs>
          <w:tab w:val="num" w:pos="432"/>
        </w:tabs>
        <w:ind w:left="432" w:hanging="432"/>
      </w:pPr>
      <w:rPr>
        <w:color w:val="365F91" w:themeColor="accent1" w:themeShade="BF"/>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5DD8031E"/>
    <w:multiLevelType w:val="hybridMultilevel"/>
    <w:tmpl w:val="A290DDD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F770F7"/>
    <w:multiLevelType w:val="hybridMultilevel"/>
    <w:tmpl w:val="973C6F6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B734E6"/>
    <w:multiLevelType w:val="multilevel"/>
    <w:tmpl w:val="7D662F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C9383D"/>
    <w:multiLevelType w:val="multilevel"/>
    <w:tmpl w:val="6BFE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BB65D7"/>
    <w:multiLevelType w:val="hybridMultilevel"/>
    <w:tmpl w:val="6BD081AA"/>
    <w:lvl w:ilvl="0" w:tplc="9746EE40">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40" w15:restartNumberingAfterBreak="0">
    <w:nsid w:val="723D60D0"/>
    <w:multiLevelType w:val="hybridMultilevel"/>
    <w:tmpl w:val="A3FCAA8C"/>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40E1E61"/>
    <w:multiLevelType w:val="hybridMultilevel"/>
    <w:tmpl w:val="2F14721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4368AE"/>
    <w:multiLevelType w:val="multilevel"/>
    <w:tmpl w:val="460A59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A552F7"/>
    <w:multiLevelType w:val="multilevel"/>
    <w:tmpl w:val="29A63A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E97BAC"/>
    <w:multiLevelType w:val="hybridMultilevel"/>
    <w:tmpl w:val="A614DF2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F966A8"/>
    <w:multiLevelType w:val="hybridMultilevel"/>
    <w:tmpl w:val="2DD6B82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3"/>
  </w:num>
  <w:num w:numId="3">
    <w:abstractNumId w:val="23"/>
  </w:num>
  <w:num w:numId="4">
    <w:abstractNumId w:val="6"/>
  </w:num>
  <w:num w:numId="5">
    <w:abstractNumId w:val="34"/>
  </w:num>
  <w:num w:numId="6">
    <w:abstractNumId w:val="45"/>
  </w:num>
  <w:num w:numId="7">
    <w:abstractNumId w:val="35"/>
  </w:num>
  <w:num w:numId="8">
    <w:abstractNumId w:val="41"/>
  </w:num>
  <w:num w:numId="9">
    <w:abstractNumId w:val="12"/>
  </w:num>
  <w:num w:numId="10">
    <w:abstractNumId w:val="32"/>
  </w:num>
  <w:num w:numId="11">
    <w:abstractNumId w:val="9"/>
  </w:num>
  <w:num w:numId="12">
    <w:abstractNumId w:val="2"/>
  </w:num>
  <w:num w:numId="13">
    <w:abstractNumId w:val="28"/>
  </w:num>
  <w:num w:numId="14">
    <w:abstractNumId w:val="8"/>
  </w:num>
  <w:num w:numId="15">
    <w:abstractNumId w:val="44"/>
  </w:num>
  <w:num w:numId="16">
    <w:abstractNumId w:val="16"/>
  </w:num>
  <w:num w:numId="17">
    <w:abstractNumId w:val="17"/>
  </w:num>
  <w:num w:numId="18">
    <w:abstractNumId w:val="25"/>
  </w:num>
  <w:num w:numId="19">
    <w:abstractNumId w:val="11"/>
  </w:num>
  <w:num w:numId="20">
    <w:abstractNumId w:val="42"/>
  </w:num>
  <w:num w:numId="21">
    <w:abstractNumId w:val="15"/>
  </w:num>
  <w:num w:numId="22">
    <w:abstractNumId w:val="37"/>
  </w:num>
  <w:num w:numId="23">
    <w:abstractNumId w:val="18"/>
  </w:num>
  <w:num w:numId="24">
    <w:abstractNumId w:val="27"/>
  </w:num>
  <w:num w:numId="25">
    <w:abstractNumId w:val="21"/>
  </w:num>
  <w:num w:numId="26">
    <w:abstractNumId w:val="19"/>
  </w:num>
  <w:num w:numId="27">
    <w:abstractNumId w:val="36"/>
  </w:num>
  <w:num w:numId="28">
    <w:abstractNumId w:val="14"/>
  </w:num>
  <w:num w:numId="29">
    <w:abstractNumId w:val="38"/>
  </w:num>
  <w:num w:numId="30">
    <w:abstractNumId w:val="5"/>
  </w:num>
  <w:num w:numId="31">
    <w:abstractNumId w:val="31"/>
  </w:num>
  <w:num w:numId="32">
    <w:abstractNumId w:val="33"/>
  </w:num>
  <w:num w:numId="33">
    <w:abstractNumId w:val="29"/>
  </w:num>
  <w:num w:numId="34">
    <w:abstractNumId w:val="3"/>
  </w:num>
  <w:num w:numId="35">
    <w:abstractNumId w:val="13"/>
  </w:num>
  <w:num w:numId="36">
    <w:abstractNumId w:val="39"/>
  </w:num>
  <w:num w:numId="37">
    <w:abstractNumId w:val="22"/>
  </w:num>
  <w:num w:numId="38">
    <w:abstractNumId w:val="30"/>
  </w:num>
  <w:num w:numId="39">
    <w:abstractNumId w:val="7"/>
  </w:num>
  <w:num w:numId="40">
    <w:abstractNumId w:val="0"/>
  </w:num>
  <w:num w:numId="41">
    <w:abstractNumId w:val="4"/>
  </w:num>
  <w:num w:numId="42">
    <w:abstractNumId w:val="10"/>
  </w:num>
  <w:num w:numId="43">
    <w:abstractNumId w:val="40"/>
  </w:num>
  <w:num w:numId="44">
    <w:abstractNumId w:val="1"/>
  </w:num>
  <w:num w:numId="45">
    <w:abstractNumId w:val="26"/>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E0"/>
    <w:rsid w:val="0001340B"/>
    <w:rsid w:val="00023791"/>
    <w:rsid w:val="00032A9D"/>
    <w:rsid w:val="00044885"/>
    <w:rsid w:val="00053FA5"/>
    <w:rsid w:val="00057A8B"/>
    <w:rsid w:val="000610DE"/>
    <w:rsid w:val="000849C4"/>
    <w:rsid w:val="000C1055"/>
    <w:rsid w:val="000E7B4E"/>
    <w:rsid w:val="000F7EE0"/>
    <w:rsid w:val="00115D89"/>
    <w:rsid w:val="00132BAA"/>
    <w:rsid w:val="00137BCC"/>
    <w:rsid w:val="001635B6"/>
    <w:rsid w:val="00177C3C"/>
    <w:rsid w:val="00183B0E"/>
    <w:rsid w:val="00184189"/>
    <w:rsid w:val="001C0331"/>
    <w:rsid w:val="001D36AD"/>
    <w:rsid w:val="001D3CF0"/>
    <w:rsid w:val="001D67AB"/>
    <w:rsid w:val="001E013A"/>
    <w:rsid w:val="001E7483"/>
    <w:rsid w:val="00202978"/>
    <w:rsid w:val="00204EA5"/>
    <w:rsid w:val="00222482"/>
    <w:rsid w:val="002237A1"/>
    <w:rsid w:val="00224302"/>
    <w:rsid w:val="002346BF"/>
    <w:rsid w:val="00243C00"/>
    <w:rsid w:val="00294E61"/>
    <w:rsid w:val="002B7D2C"/>
    <w:rsid w:val="002C0470"/>
    <w:rsid w:val="002E7041"/>
    <w:rsid w:val="002F552F"/>
    <w:rsid w:val="003238CB"/>
    <w:rsid w:val="0033205A"/>
    <w:rsid w:val="003461FA"/>
    <w:rsid w:val="003465E3"/>
    <w:rsid w:val="00347284"/>
    <w:rsid w:val="0035263C"/>
    <w:rsid w:val="00353A80"/>
    <w:rsid w:val="00364B35"/>
    <w:rsid w:val="00365886"/>
    <w:rsid w:val="00376B56"/>
    <w:rsid w:val="003771E3"/>
    <w:rsid w:val="00395676"/>
    <w:rsid w:val="003966D6"/>
    <w:rsid w:val="003D2E51"/>
    <w:rsid w:val="003D717A"/>
    <w:rsid w:val="003F0025"/>
    <w:rsid w:val="003F2325"/>
    <w:rsid w:val="00412CC4"/>
    <w:rsid w:val="004311F5"/>
    <w:rsid w:val="00477A67"/>
    <w:rsid w:val="004B2BF1"/>
    <w:rsid w:val="004C6486"/>
    <w:rsid w:val="004D55B5"/>
    <w:rsid w:val="004F164C"/>
    <w:rsid w:val="00501C83"/>
    <w:rsid w:val="00525A70"/>
    <w:rsid w:val="00556ECB"/>
    <w:rsid w:val="005631FC"/>
    <w:rsid w:val="00574B69"/>
    <w:rsid w:val="005A5207"/>
    <w:rsid w:val="005A5EB6"/>
    <w:rsid w:val="005B2392"/>
    <w:rsid w:val="005B3184"/>
    <w:rsid w:val="005C4C02"/>
    <w:rsid w:val="005C5BB7"/>
    <w:rsid w:val="005D2939"/>
    <w:rsid w:val="005F11FC"/>
    <w:rsid w:val="005F3AD4"/>
    <w:rsid w:val="005F5C2D"/>
    <w:rsid w:val="00600EC9"/>
    <w:rsid w:val="0060332D"/>
    <w:rsid w:val="0060397D"/>
    <w:rsid w:val="006122A3"/>
    <w:rsid w:val="00620AC3"/>
    <w:rsid w:val="00656445"/>
    <w:rsid w:val="00657735"/>
    <w:rsid w:val="00664137"/>
    <w:rsid w:val="006736EC"/>
    <w:rsid w:val="0067405F"/>
    <w:rsid w:val="006760E8"/>
    <w:rsid w:val="00680568"/>
    <w:rsid w:val="006A196B"/>
    <w:rsid w:val="006B3C3C"/>
    <w:rsid w:val="006B6F82"/>
    <w:rsid w:val="006C2495"/>
    <w:rsid w:val="006C49A1"/>
    <w:rsid w:val="006D04C4"/>
    <w:rsid w:val="006D6C97"/>
    <w:rsid w:val="006F717B"/>
    <w:rsid w:val="007057F2"/>
    <w:rsid w:val="00735742"/>
    <w:rsid w:val="0077685F"/>
    <w:rsid w:val="00796E72"/>
    <w:rsid w:val="007B09BC"/>
    <w:rsid w:val="007B0FB3"/>
    <w:rsid w:val="007B768F"/>
    <w:rsid w:val="007B7E30"/>
    <w:rsid w:val="007F568F"/>
    <w:rsid w:val="00813143"/>
    <w:rsid w:val="00821F9D"/>
    <w:rsid w:val="00831372"/>
    <w:rsid w:val="00846B15"/>
    <w:rsid w:val="00847A75"/>
    <w:rsid w:val="0085086C"/>
    <w:rsid w:val="00866FA2"/>
    <w:rsid w:val="00870ABE"/>
    <w:rsid w:val="008B4AA5"/>
    <w:rsid w:val="008E1A5F"/>
    <w:rsid w:val="008E39E9"/>
    <w:rsid w:val="00914E53"/>
    <w:rsid w:val="00922DDA"/>
    <w:rsid w:val="00925DA8"/>
    <w:rsid w:val="0093342C"/>
    <w:rsid w:val="009461B0"/>
    <w:rsid w:val="0094699F"/>
    <w:rsid w:val="0094707F"/>
    <w:rsid w:val="00950084"/>
    <w:rsid w:val="0096691A"/>
    <w:rsid w:val="00993304"/>
    <w:rsid w:val="00995786"/>
    <w:rsid w:val="009A23AF"/>
    <w:rsid w:val="009A77E5"/>
    <w:rsid w:val="009B1DA1"/>
    <w:rsid w:val="009B3D1A"/>
    <w:rsid w:val="009B7465"/>
    <w:rsid w:val="009C137B"/>
    <w:rsid w:val="009D2577"/>
    <w:rsid w:val="009D694B"/>
    <w:rsid w:val="009D7492"/>
    <w:rsid w:val="009F2E28"/>
    <w:rsid w:val="00A02D7E"/>
    <w:rsid w:val="00A4651C"/>
    <w:rsid w:val="00A609E1"/>
    <w:rsid w:val="00A61283"/>
    <w:rsid w:val="00A65B2C"/>
    <w:rsid w:val="00A739AF"/>
    <w:rsid w:val="00A92642"/>
    <w:rsid w:val="00AA075E"/>
    <w:rsid w:val="00AB39D0"/>
    <w:rsid w:val="00AB6B5F"/>
    <w:rsid w:val="00AD25FB"/>
    <w:rsid w:val="00AD2AA6"/>
    <w:rsid w:val="00B05E1B"/>
    <w:rsid w:val="00B13BE4"/>
    <w:rsid w:val="00B25A62"/>
    <w:rsid w:val="00B304A7"/>
    <w:rsid w:val="00B5154B"/>
    <w:rsid w:val="00B52B02"/>
    <w:rsid w:val="00B56821"/>
    <w:rsid w:val="00B655DA"/>
    <w:rsid w:val="00B70F62"/>
    <w:rsid w:val="00B71D59"/>
    <w:rsid w:val="00B73D8F"/>
    <w:rsid w:val="00B76F9E"/>
    <w:rsid w:val="00BA7D7C"/>
    <w:rsid w:val="00BB27CB"/>
    <w:rsid w:val="00BC709E"/>
    <w:rsid w:val="00BD6FA8"/>
    <w:rsid w:val="00BF6B86"/>
    <w:rsid w:val="00C02424"/>
    <w:rsid w:val="00C413D1"/>
    <w:rsid w:val="00C51A66"/>
    <w:rsid w:val="00CB4490"/>
    <w:rsid w:val="00CB7CF3"/>
    <w:rsid w:val="00CC4CD2"/>
    <w:rsid w:val="00CD1DE4"/>
    <w:rsid w:val="00CD5480"/>
    <w:rsid w:val="00CD5AFB"/>
    <w:rsid w:val="00CD5FD4"/>
    <w:rsid w:val="00D3657F"/>
    <w:rsid w:val="00D37349"/>
    <w:rsid w:val="00D43FEF"/>
    <w:rsid w:val="00D46074"/>
    <w:rsid w:val="00D57E2B"/>
    <w:rsid w:val="00D75A18"/>
    <w:rsid w:val="00D81727"/>
    <w:rsid w:val="00DC736B"/>
    <w:rsid w:val="00DF5FD3"/>
    <w:rsid w:val="00E1027C"/>
    <w:rsid w:val="00E162F9"/>
    <w:rsid w:val="00E55AE0"/>
    <w:rsid w:val="00E569B3"/>
    <w:rsid w:val="00E61AA3"/>
    <w:rsid w:val="00E71BDA"/>
    <w:rsid w:val="00E756B9"/>
    <w:rsid w:val="00EC2BD8"/>
    <w:rsid w:val="00EC71A2"/>
    <w:rsid w:val="00ED6D3F"/>
    <w:rsid w:val="00EE09CB"/>
    <w:rsid w:val="00F225F7"/>
    <w:rsid w:val="00F367C8"/>
    <w:rsid w:val="00F44B8A"/>
    <w:rsid w:val="00F45FB5"/>
    <w:rsid w:val="00F9214D"/>
    <w:rsid w:val="00F93F0E"/>
    <w:rsid w:val="00FA50DC"/>
    <w:rsid w:val="00FE3A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1299F7-AA73-4627-8782-B59C8450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7CB"/>
    <w:rPr>
      <w:rFonts w:ascii="Arial" w:hAnsi="Arial"/>
      <w:sz w:val="22"/>
      <w:szCs w:val="24"/>
    </w:rPr>
  </w:style>
  <w:style w:type="paragraph" w:styleId="Overskrift1">
    <w:name w:val="heading 1"/>
    <w:basedOn w:val="Normal"/>
    <w:next w:val="Normal"/>
    <w:link w:val="Overskrift1Tegn"/>
    <w:qFormat/>
    <w:rsid w:val="00E55AE0"/>
    <w:pPr>
      <w:keepNext/>
      <w:keepLines/>
      <w:spacing w:before="48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nhideWhenUsed/>
    <w:qFormat/>
    <w:rsid w:val="00E55A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qFormat/>
    <w:rsid w:val="0094707F"/>
    <w:pPr>
      <w:keepNext/>
      <w:spacing w:before="240" w:after="60"/>
      <w:ind w:left="720" w:hanging="720"/>
      <w:jc w:val="both"/>
      <w:outlineLvl w:val="2"/>
    </w:pPr>
    <w:rPr>
      <w:rFonts w:asciiTheme="minorHAnsi" w:hAnsiTheme="minorHAnsi" w:cs="Arial"/>
      <w:b/>
      <w:bCs/>
      <w:szCs w:val="26"/>
      <w:lang w:eastAsia="en-US"/>
    </w:rPr>
  </w:style>
  <w:style w:type="paragraph" w:styleId="Overskrift4">
    <w:name w:val="heading 4"/>
    <w:basedOn w:val="Normal"/>
    <w:next w:val="Normal"/>
    <w:link w:val="Overskrift4Tegn"/>
    <w:qFormat/>
    <w:rsid w:val="0094707F"/>
    <w:pPr>
      <w:keepNext/>
      <w:tabs>
        <w:tab w:val="num" w:pos="864"/>
      </w:tabs>
      <w:ind w:left="864" w:hanging="864"/>
      <w:jc w:val="both"/>
      <w:outlineLvl w:val="3"/>
    </w:pPr>
    <w:rPr>
      <w:rFonts w:ascii="Times New Roman" w:hAnsi="Times New Roman"/>
      <w:bCs/>
      <w:sz w:val="24"/>
      <w:szCs w:val="28"/>
      <w:u w:val="single"/>
      <w:lang w:eastAsia="en-US"/>
    </w:rPr>
  </w:style>
  <w:style w:type="paragraph" w:styleId="Overskrift5">
    <w:name w:val="heading 5"/>
    <w:basedOn w:val="Normal"/>
    <w:next w:val="Normal"/>
    <w:link w:val="Overskrift5Tegn"/>
    <w:qFormat/>
    <w:rsid w:val="0094707F"/>
    <w:pPr>
      <w:tabs>
        <w:tab w:val="num" w:pos="1008"/>
      </w:tabs>
      <w:spacing w:before="240" w:after="60"/>
      <w:ind w:left="1008" w:hanging="1008"/>
      <w:jc w:val="both"/>
      <w:outlineLvl w:val="4"/>
    </w:pPr>
    <w:rPr>
      <w:rFonts w:ascii="Times New Roman" w:hAnsi="Times New Roman"/>
      <w:b/>
      <w:bCs/>
      <w:i/>
      <w:iCs/>
      <w:sz w:val="26"/>
      <w:szCs w:val="26"/>
      <w:lang w:eastAsia="en-US"/>
    </w:rPr>
  </w:style>
  <w:style w:type="paragraph" w:styleId="Overskrift6">
    <w:name w:val="heading 6"/>
    <w:basedOn w:val="Normal"/>
    <w:next w:val="Normal"/>
    <w:link w:val="Overskrift6Tegn"/>
    <w:qFormat/>
    <w:rsid w:val="0094707F"/>
    <w:pPr>
      <w:tabs>
        <w:tab w:val="num" w:pos="1152"/>
      </w:tabs>
      <w:spacing w:before="240" w:after="60"/>
      <w:ind w:left="1152" w:hanging="1152"/>
      <w:jc w:val="both"/>
      <w:outlineLvl w:val="5"/>
    </w:pPr>
    <w:rPr>
      <w:rFonts w:ascii="Times New Roman" w:hAnsi="Times New Roman"/>
      <w:b/>
      <w:bCs/>
      <w:szCs w:val="22"/>
      <w:lang w:eastAsia="en-US"/>
    </w:rPr>
  </w:style>
  <w:style w:type="paragraph" w:styleId="Overskrift7">
    <w:name w:val="heading 7"/>
    <w:basedOn w:val="Normal"/>
    <w:next w:val="Normal"/>
    <w:link w:val="Overskrift7Tegn"/>
    <w:qFormat/>
    <w:rsid w:val="0094707F"/>
    <w:pPr>
      <w:tabs>
        <w:tab w:val="num" w:pos="1296"/>
      </w:tabs>
      <w:spacing w:before="240" w:after="60"/>
      <w:ind w:left="1296" w:hanging="1296"/>
      <w:jc w:val="both"/>
      <w:outlineLvl w:val="6"/>
    </w:pPr>
    <w:rPr>
      <w:rFonts w:ascii="Times New Roman" w:hAnsi="Times New Roman"/>
      <w:sz w:val="24"/>
      <w:lang w:eastAsia="en-US"/>
    </w:rPr>
  </w:style>
  <w:style w:type="paragraph" w:styleId="Overskrift8">
    <w:name w:val="heading 8"/>
    <w:basedOn w:val="Normal"/>
    <w:next w:val="Normal"/>
    <w:link w:val="Overskrift8Tegn"/>
    <w:qFormat/>
    <w:rsid w:val="0094707F"/>
    <w:pPr>
      <w:tabs>
        <w:tab w:val="num" w:pos="1440"/>
      </w:tabs>
      <w:spacing w:before="240" w:after="60"/>
      <w:ind w:left="1440" w:hanging="1440"/>
      <w:jc w:val="both"/>
      <w:outlineLvl w:val="7"/>
    </w:pPr>
    <w:rPr>
      <w:rFonts w:ascii="Times New Roman" w:hAnsi="Times New Roman"/>
      <w:i/>
      <w:iCs/>
      <w:sz w:val="24"/>
      <w:lang w:eastAsia="en-US"/>
    </w:rPr>
  </w:style>
  <w:style w:type="paragraph" w:styleId="Overskrift9">
    <w:name w:val="heading 9"/>
    <w:basedOn w:val="Normal"/>
    <w:next w:val="Normal"/>
    <w:link w:val="Overskrift9Tegn"/>
    <w:qFormat/>
    <w:rsid w:val="0094707F"/>
    <w:pPr>
      <w:tabs>
        <w:tab w:val="num" w:pos="1584"/>
      </w:tabs>
      <w:spacing w:before="240" w:after="60"/>
      <w:ind w:left="1584" w:hanging="1584"/>
      <w:jc w:val="both"/>
      <w:outlineLvl w:val="8"/>
    </w:pPr>
    <w:rPr>
      <w:rFonts w:cs="Arial"/>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remhv">
    <w:name w:val="Emphasis"/>
    <w:basedOn w:val="Standardskrifttypeiafsnit"/>
    <w:uiPriority w:val="20"/>
    <w:qFormat/>
    <w:rsid w:val="0001340B"/>
    <w:rPr>
      <w:i/>
      <w:iCs/>
    </w:rPr>
  </w:style>
  <w:style w:type="paragraph" w:styleId="Titel">
    <w:name w:val="Title"/>
    <w:basedOn w:val="Normal"/>
    <w:next w:val="Normal"/>
    <w:link w:val="TitelTegn"/>
    <w:rsid w:val="000134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rsid w:val="0001340B"/>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rsid w:val="0001340B"/>
    <w:pPr>
      <w:numPr>
        <w:ilvl w:val="1"/>
      </w:numPr>
    </w:pPr>
    <w:rPr>
      <w:rFonts w:asciiTheme="majorHAnsi" w:eastAsiaTheme="majorEastAsia" w:hAnsiTheme="majorHAnsi" w:cstheme="majorBidi"/>
      <w:i/>
      <w:iCs/>
      <w:color w:val="4F81BD" w:themeColor="accent1"/>
      <w:spacing w:val="15"/>
    </w:rPr>
  </w:style>
  <w:style w:type="character" w:customStyle="1" w:styleId="UndertitelTegn">
    <w:name w:val="Undertitel Tegn"/>
    <w:basedOn w:val="Standardskrifttypeiafsnit"/>
    <w:link w:val="Undertitel"/>
    <w:rsid w:val="0001340B"/>
    <w:rPr>
      <w:rFonts w:asciiTheme="majorHAnsi" w:eastAsiaTheme="majorEastAsia" w:hAnsiTheme="majorHAnsi" w:cstheme="majorBidi"/>
      <w:i/>
      <w:iCs/>
      <w:color w:val="4F81BD" w:themeColor="accent1"/>
      <w:spacing w:val="15"/>
      <w:sz w:val="24"/>
      <w:szCs w:val="24"/>
    </w:rPr>
  </w:style>
  <w:style w:type="character" w:styleId="Svaghenvisning">
    <w:name w:val="Subtle Reference"/>
    <w:basedOn w:val="Standardskrifttypeiafsnit"/>
    <w:uiPriority w:val="31"/>
    <w:rsid w:val="0001340B"/>
    <w:rPr>
      <w:smallCaps/>
      <w:color w:val="C0504D" w:themeColor="accent2"/>
      <w:u w:val="single"/>
    </w:rPr>
  </w:style>
  <w:style w:type="character" w:customStyle="1" w:styleId="Overskrift1Tegn">
    <w:name w:val="Overskrift 1 Tegn"/>
    <w:basedOn w:val="Standardskrifttypeiafsnit"/>
    <w:link w:val="Overskrift1"/>
    <w:rsid w:val="00E55AE0"/>
    <w:rPr>
      <w:rFonts w:ascii="Arial" w:eastAsiaTheme="majorEastAsia" w:hAnsi="Arial" w:cstheme="majorBidi"/>
      <w:b/>
      <w:bCs/>
      <w:color w:val="365F91" w:themeColor="accent1" w:themeShade="BF"/>
      <w:sz w:val="28"/>
      <w:szCs w:val="28"/>
    </w:rPr>
  </w:style>
  <w:style w:type="paragraph" w:styleId="Ingenafstand">
    <w:name w:val="No Spacing"/>
    <w:link w:val="IngenafstandTegn"/>
    <w:uiPriority w:val="1"/>
    <w:qFormat/>
    <w:rsid w:val="00E55AE0"/>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E55AE0"/>
    <w:rPr>
      <w:rFonts w:asciiTheme="minorHAnsi" w:eastAsiaTheme="minorEastAsia" w:hAnsiTheme="minorHAnsi" w:cstheme="minorBidi"/>
      <w:sz w:val="22"/>
      <w:szCs w:val="22"/>
    </w:rPr>
  </w:style>
  <w:style w:type="paragraph" w:customStyle="1" w:styleId="Typografi2">
    <w:name w:val="Typografi2"/>
    <w:basedOn w:val="Normal"/>
    <w:link w:val="Typografi2Tegn"/>
    <w:autoRedefine/>
    <w:qFormat/>
    <w:rsid w:val="006C2495"/>
    <w:rPr>
      <w:b/>
    </w:rPr>
  </w:style>
  <w:style w:type="character" w:customStyle="1" w:styleId="Overskrift2Tegn">
    <w:name w:val="Overskrift 2 Tegn"/>
    <w:basedOn w:val="Standardskrifttypeiafsnit"/>
    <w:link w:val="Overskrift2"/>
    <w:rsid w:val="00E55AE0"/>
    <w:rPr>
      <w:rFonts w:asciiTheme="majorHAnsi" w:eastAsiaTheme="majorEastAsia" w:hAnsiTheme="majorHAnsi" w:cstheme="majorBidi"/>
      <w:color w:val="365F91" w:themeColor="accent1" w:themeShade="BF"/>
      <w:sz w:val="26"/>
      <w:szCs w:val="26"/>
    </w:rPr>
  </w:style>
  <w:style w:type="character" w:customStyle="1" w:styleId="Typografi2Tegn">
    <w:name w:val="Typografi2 Tegn"/>
    <w:basedOn w:val="Standardskrifttypeiafsnit"/>
    <w:link w:val="Typografi2"/>
    <w:rsid w:val="006C2495"/>
    <w:rPr>
      <w:rFonts w:ascii="Arial" w:hAnsi="Arial"/>
      <w:b/>
      <w:sz w:val="22"/>
      <w:szCs w:val="24"/>
    </w:rPr>
  </w:style>
  <w:style w:type="paragraph" w:customStyle="1" w:styleId="Normal1">
    <w:name w:val="Normal1"/>
    <w:basedOn w:val="Normal"/>
    <w:link w:val="normalTegn"/>
    <w:rsid w:val="00E55AE0"/>
    <w:pPr>
      <w:jc w:val="both"/>
    </w:pPr>
    <w:rPr>
      <w:rFonts w:ascii="Times New Roman" w:hAnsi="Times New Roman"/>
      <w:color w:val="000000"/>
      <w:sz w:val="24"/>
      <w:szCs w:val="17"/>
    </w:rPr>
  </w:style>
  <w:style w:type="character" w:customStyle="1" w:styleId="normalTegn">
    <w:name w:val="normal Tegn"/>
    <w:basedOn w:val="Standardskrifttypeiafsnit"/>
    <w:link w:val="Normal1"/>
    <w:rsid w:val="00E55AE0"/>
    <w:rPr>
      <w:color w:val="000000"/>
      <w:sz w:val="24"/>
      <w:szCs w:val="17"/>
    </w:rPr>
  </w:style>
  <w:style w:type="paragraph" w:styleId="Billedtekst">
    <w:name w:val="caption"/>
    <w:basedOn w:val="Normal"/>
    <w:next w:val="Normal"/>
    <w:qFormat/>
    <w:rsid w:val="006C2495"/>
    <w:pPr>
      <w:jc w:val="both"/>
    </w:pPr>
    <w:rPr>
      <w:rFonts w:asciiTheme="minorHAnsi" w:hAnsiTheme="minorHAnsi"/>
      <w:bCs/>
      <w:sz w:val="18"/>
      <w:szCs w:val="20"/>
      <w:lang w:eastAsia="en-US"/>
    </w:rPr>
  </w:style>
  <w:style w:type="character" w:customStyle="1" w:styleId="Overskrift3Tegn">
    <w:name w:val="Overskrift 3 Tegn"/>
    <w:basedOn w:val="Standardskrifttypeiafsnit"/>
    <w:link w:val="Overskrift3"/>
    <w:rsid w:val="0094707F"/>
    <w:rPr>
      <w:rFonts w:asciiTheme="minorHAnsi" w:hAnsiTheme="minorHAnsi" w:cs="Arial"/>
      <w:b/>
      <w:bCs/>
      <w:sz w:val="22"/>
      <w:szCs w:val="26"/>
      <w:lang w:eastAsia="en-US"/>
    </w:rPr>
  </w:style>
  <w:style w:type="character" w:customStyle="1" w:styleId="Overskrift4Tegn">
    <w:name w:val="Overskrift 4 Tegn"/>
    <w:basedOn w:val="Standardskrifttypeiafsnit"/>
    <w:link w:val="Overskrift4"/>
    <w:rsid w:val="0094707F"/>
    <w:rPr>
      <w:bCs/>
      <w:sz w:val="24"/>
      <w:szCs w:val="28"/>
      <w:u w:val="single"/>
      <w:lang w:eastAsia="en-US"/>
    </w:rPr>
  </w:style>
  <w:style w:type="character" w:customStyle="1" w:styleId="Overskrift5Tegn">
    <w:name w:val="Overskrift 5 Tegn"/>
    <w:basedOn w:val="Standardskrifttypeiafsnit"/>
    <w:link w:val="Overskrift5"/>
    <w:rsid w:val="0094707F"/>
    <w:rPr>
      <w:b/>
      <w:bCs/>
      <w:i/>
      <w:iCs/>
      <w:sz w:val="26"/>
      <w:szCs w:val="26"/>
      <w:lang w:eastAsia="en-US"/>
    </w:rPr>
  </w:style>
  <w:style w:type="character" w:customStyle="1" w:styleId="Overskrift6Tegn">
    <w:name w:val="Overskrift 6 Tegn"/>
    <w:basedOn w:val="Standardskrifttypeiafsnit"/>
    <w:link w:val="Overskrift6"/>
    <w:rsid w:val="0094707F"/>
    <w:rPr>
      <w:b/>
      <w:bCs/>
      <w:sz w:val="22"/>
      <w:szCs w:val="22"/>
      <w:lang w:eastAsia="en-US"/>
    </w:rPr>
  </w:style>
  <w:style w:type="character" w:customStyle="1" w:styleId="Overskrift7Tegn">
    <w:name w:val="Overskrift 7 Tegn"/>
    <w:basedOn w:val="Standardskrifttypeiafsnit"/>
    <w:link w:val="Overskrift7"/>
    <w:rsid w:val="0094707F"/>
    <w:rPr>
      <w:sz w:val="24"/>
      <w:szCs w:val="24"/>
      <w:lang w:eastAsia="en-US"/>
    </w:rPr>
  </w:style>
  <w:style w:type="character" w:customStyle="1" w:styleId="Overskrift8Tegn">
    <w:name w:val="Overskrift 8 Tegn"/>
    <w:basedOn w:val="Standardskrifttypeiafsnit"/>
    <w:link w:val="Overskrift8"/>
    <w:rsid w:val="0094707F"/>
    <w:rPr>
      <w:i/>
      <w:iCs/>
      <w:sz w:val="24"/>
      <w:szCs w:val="24"/>
      <w:lang w:eastAsia="en-US"/>
    </w:rPr>
  </w:style>
  <w:style w:type="character" w:customStyle="1" w:styleId="Overskrift9Tegn">
    <w:name w:val="Overskrift 9 Tegn"/>
    <w:basedOn w:val="Standardskrifttypeiafsnit"/>
    <w:link w:val="Overskrift9"/>
    <w:rsid w:val="0094707F"/>
    <w:rPr>
      <w:rFonts w:ascii="Arial" w:hAnsi="Arial" w:cs="Arial"/>
      <w:sz w:val="22"/>
      <w:szCs w:val="22"/>
      <w:lang w:eastAsia="en-US"/>
    </w:rPr>
  </w:style>
  <w:style w:type="paragraph" w:styleId="Fodnotetekst">
    <w:name w:val="footnote text"/>
    <w:basedOn w:val="Normal"/>
    <w:link w:val="FodnotetekstTegn"/>
    <w:uiPriority w:val="99"/>
    <w:rsid w:val="0094707F"/>
    <w:pPr>
      <w:jc w:val="both"/>
    </w:pPr>
    <w:rPr>
      <w:rFonts w:ascii="Times New Roman" w:hAnsi="Times New Roman"/>
      <w:sz w:val="24"/>
      <w:lang w:eastAsia="en-US"/>
    </w:rPr>
  </w:style>
  <w:style w:type="character" w:customStyle="1" w:styleId="FodnotetekstTegn">
    <w:name w:val="Fodnotetekst Tegn"/>
    <w:basedOn w:val="Standardskrifttypeiafsnit"/>
    <w:link w:val="Fodnotetekst"/>
    <w:uiPriority w:val="99"/>
    <w:rsid w:val="0094707F"/>
    <w:rPr>
      <w:sz w:val="24"/>
      <w:szCs w:val="24"/>
      <w:lang w:eastAsia="en-US"/>
    </w:rPr>
  </w:style>
  <w:style w:type="character" w:styleId="Fodnotehenvisning">
    <w:name w:val="footnote reference"/>
    <w:basedOn w:val="Standardskrifttypeiafsnit"/>
    <w:uiPriority w:val="99"/>
    <w:semiHidden/>
    <w:rsid w:val="0094707F"/>
    <w:rPr>
      <w:vertAlign w:val="superscript"/>
    </w:rPr>
  </w:style>
  <w:style w:type="character" w:styleId="Hyperlink">
    <w:name w:val="Hyperlink"/>
    <w:basedOn w:val="Standardskrifttypeiafsnit"/>
    <w:uiPriority w:val="99"/>
    <w:rsid w:val="0094707F"/>
    <w:rPr>
      <w:color w:val="0000FF"/>
      <w:u w:val="single"/>
    </w:rPr>
  </w:style>
  <w:style w:type="paragraph" w:styleId="Sidefod">
    <w:name w:val="footer"/>
    <w:basedOn w:val="Normal"/>
    <w:link w:val="SidefodTegn"/>
    <w:uiPriority w:val="99"/>
    <w:rsid w:val="0094707F"/>
    <w:pPr>
      <w:tabs>
        <w:tab w:val="center" w:pos="4819"/>
        <w:tab w:val="right" w:pos="9638"/>
      </w:tabs>
      <w:jc w:val="both"/>
    </w:pPr>
    <w:rPr>
      <w:rFonts w:ascii="Times New Roman" w:hAnsi="Times New Roman"/>
      <w:sz w:val="24"/>
      <w:lang w:eastAsia="en-US"/>
    </w:rPr>
  </w:style>
  <w:style w:type="character" w:customStyle="1" w:styleId="SidefodTegn">
    <w:name w:val="Sidefod Tegn"/>
    <w:basedOn w:val="Standardskrifttypeiafsnit"/>
    <w:link w:val="Sidefod"/>
    <w:uiPriority w:val="99"/>
    <w:rsid w:val="0094707F"/>
    <w:rPr>
      <w:sz w:val="24"/>
      <w:szCs w:val="24"/>
      <w:lang w:eastAsia="en-US"/>
    </w:rPr>
  </w:style>
  <w:style w:type="paragraph" w:customStyle="1" w:styleId="Fodnote">
    <w:name w:val="Fodnote"/>
    <w:basedOn w:val="Fodnotetekst"/>
    <w:qFormat/>
    <w:rsid w:val="0094707F"/>
    <w:rPr>
      <w:lang w:eastAsia="da-DK"/>
    </w:rPr>
  </w:style>
  <w:style w:type="paragraph" w:customStyle="1" w:styleId="Farvetliste-fremhvningsfarve12">
    <w:name w:val="Farvet liste - fremhævningsfarve 12"/>
    <w:basedOn w:val="Normal"/>
    <w:uiPriority w:val="34"/>
    <w:qFormat/>
    <w:rsid w:val="0094707F"/>
    <w:pPr>
      <w:ind w:left="1304"/>
      <w:jc w:val="both"/>
    </w:pPr>
    <w:rPr>
      <w:rFonts w:ascii="Times New Roman" w:hAnsi="Times New Roman"/>
      <w:sz w:val="24"/>
      <w:lang w:eastAsia="en-US"/>
    </w:rPr>
  </w:style>
  <w:style w:type="character" w:styleId="Kommentarhenvisning">
    <w:name w:val="annotation reference"/>
    <w:basedOn w:val="Standardskrifttypeiafsnit"/>
    <w:semiHidden/>
    <w:rsid w:val="0094707F"/>
    <w:rPr>
      <w:sz w:val="16"/>
      <w:szCs w:val="16"/>
    </w:rPr>
  </w:style>
  <w:style w:type="paragraph" w:styleId="Kommentartekst">
    <w:name w:val="annotation text"/>
    <w:basedOn w:val="Normal"/>
    <w:link w:val="KommentartekstTegn"/>
    <w:semiHidden/>
    <w:rsid w:val="0094707F"/>
    <w:pPr>
      <w:jc w:val="both"/>
    </w:pPr>
    <w:rPr>
      <w:rFonts w:ascii="Times New Roman" w:hAnsi="Times New Roman"/>
      <w:sz w:val="20"/>
      <w:szCs w:val="20"/>
      <w:lang w:eastAsia="en-US"/>
    </w:rPr>
  </w:style>
  <w:style w:type="character" w:customStyle="1" w:styleId="KommentartekstTegn">
    <w:name w:val="Kommentartekst Tegn"/>
    <w:basedOn w:val="Standardskrifttypeiafsnit"/>
    <w:link w:val="Kommentartekst"/>
    <w:semiHidden/>
    <w:rsid w:val="0094707F"/>
    <w:rPr>
      <w:lang w:eastAsia="en-US"/>
    </w:rPr>
  </w:style>
  <w:style w:type="paragraph" w:styleId="Kommentaremne">
    <w:name w:val="annotation subject"/>
    <w:basedOn w:val="Kommentartekst"/>
    <w:next w:val="Kommentartekst"/>
    <w:link w:val="KommentaremneTegn"/>
    <w:semiHidden/>
    <w:rsid w:val="0094707F"/>
    <w:rPr>
      <w:b/>
      <w:bCs/>
    </w:rPr>
  </w:style>
  <w:style w:type="character" w:customStyle="1" w:styleId="KommentaremneTegn">
    <w:name w:val="Kommentaremne Tegn"/>
    <w:basedOn w:val="KommentartekstTegn"/>
    <w:link w:val="Kommentaremne"/>
    <w:semiHidden/>
    <w:rsid w:val="0094707F"/>
    <w:rPr>
      <w:b/>
      <w:bCs/>
      <w:lang w:eastAsia="en-US"/>
    </w:rPr>
  </w:style>
  <w:style w:type="paragraph" w:styleId="Markeringsbobletekst">
    <w:name w:val="Balloon Text"/>
    <w:basedOn w:val="Normal"/>
    <w:link w:val="MarkeringsbobletekstTegn"/>
    <w:semiHidden/>
    <w:rsid w:val="0094707F"/>
    <w:pPr>
      <w:jc w:val="both"/>
    </w:pPr>
    <w:rPr>
      <w:rFonts w:ascii="Tahoma" w:hAnsi="Tahoma" w:cs="Tahoma"/>
      <w:sz w:val="16"/>
      <w:szCs w:val="16"/>
      <w:lang w:eastAsia="en-US"/>
    </w:rPr>
  </w:style>
  <w:style w:type="character" w:customStyle="1" w:styleId="MarkeringsbobletekstTegn">
    <w:name w:val="Markeringsbobletekst Tegn"/>
    <w:basedOn w:val="Standardskrifttypeiafsnit"/>
    <w:link w:val="Markeringsbobletekst"/>
    <w:semiHidden/>
    <w:rsid w:val="0094707F"/>
    <w:rPr>
      <w:rFonts w:ascii="Tahoma" w:hAnsi="Tahoma" w:cs="Tahoma"/>
      <w:sz w:val="16"/>
      <w:szCs w:val="16"/>
      <w:lang w:eastAsia="en-US"/>
    </w:rPr>
  </w:style>
  <w:style w:type="character" w:styleId="BesgtLink">
    <w:name w:val="FollowedHyperlink"/>
    <w:basedOn w:val="Standardskrifttypeiafsnit"/>
    <w:uiPriority w:val="99"/>
    <w:rsid w:val="0094707F"/>
    <w:rPr>
      <w:color w:val="800080"/>
      <w:u w:val="single"/>
    </w:rPr>
  </w:style>
  <w:style w:type="paragraph" w:styleId="Sidehoved">
    <w:name w:val="header"/>
    <w:basedOn w:val="Normal"/>
    <w:link w:val="SidehovedTegn"/>
    <w:uiPriority w:val="99"/>
    <w:unhideWhenUsed/>
    <w:rsid w:val="0094707F"/>
    <w:pPr>
      <w:tabs>
        <w:tab w:val="center" w:pos="4819"/>
        <w:tab w:val="right" w:pos="9638"/>
      </w:tabs>
      <w:jc w:val="both"/>
    </w:pPr>
    <w:rPr>
      <w:rFonts w:ascii="Times New Roman" w:hAnsi="Times New Roman"/>
      <w:sz w:val="24"/>
      <w:lang w:eastAsia="en-US"/>
    </w:rPr>
  </w:style>
  <w:style w:type="character" w:customStyle="1" w:styleId="SidehovedTegn">
    <w:name w:val="Sidehoved Tegn"/>
    <w:basedOn w:val="Standardskrifttypeiafsnit"/>
    <w:link w:val="Sidehoved"/>
    <w:uiPriority w:val="99"/>
    <w:rsid w:val="0094707F"/>
    <w:rPr>
      <w:sz w:val="24"/>
      <w:szCs w:val="24"/>
      <w:lang w:eastAsia="en-US"/>
    </w:rPr>
  </w:style>
  <w:style w:type="character" w:customStyle="1" w:styleId="normalChar">
    <w:name w:val="normal Char"/>
    <w:basedOn w:val="Standardskrifttypeiafsnit"/>
    <w:rsid w:val="0094707F"/>
    <w:rPr>
      <w:rFonts w:ascii="Garamond" w:hAnsi="Garamond"/>
      <w:color w:val="000000"/>
      <w:sz w:val="24"/>
      <w:szCs w:val="17"/>
      <w:lang w:val="da-DK" w:eastAsia="da-DK" w:bidi="ar-SA"/>
    </w:rPr>
  </w:style>
  <w:style w:type="paragraph" w:customStyle="1" w:styleId="Citattekst">
    <w:name w:val="Citattekst"/>
    <w:basedOn w:val="Normal"/>
    <w:link w:val="CitattekstTegn"/>
    <w:rsid w:val="0094707F"/>
    <w:pPr>
      <w:ind w:left="720"/>
      <w:jc w:val="both"/>
    </w:pPr>
    <w:rPr>
      <w:rFonts w:ascii="Times New Roman" w:hAnsi="Times New Roman"/>
      <w:i/>
      <w:sz w:val="20"/>
      <w:lang w:eastAsia="en-US"/>
    </w:rPr>
  </w:style>
  <w:style w:type="character" w:customStyle="1" w:styleId="CitattekstTegn">
    <w:name w:val="Citattekst Tegn"/>
    <w:basedOn w:val="Standardskrifttypeiafsnit"/>
    <w:link w:val="Citattekst"/>
    <w:rsid w:val="0094707F"/>
    <w:rPr>
      <w:i/>
      <w:szCs w:val="24"/>
      <w:lang w:eastAsia="en-US"/>
    </w:rPr>
  </w:style>
  <w:style w:type="character" w:styleId="Strk">
    <w:name w:val="Strong"/>
    <w:basedOn w:val="Standardskrifttypeiafsnit"/>
    <w:qFormat/>
    <w:rsid w:val="0094707F"/>
    <w:rPr>
      <w:b/>
      <w:bCs/>
    </w:rPr>
  </w:style>
  <w:style w:type="paragraph" w:customStyle="1" w:styleId="Overskrift10">
    <w:name w:val="Overskrift1"/>
    <w:basedOn w:val="Overskrift1"/>
    <w:next w:val="Normal"/>
    <w:qFormat/>
    <w:rsid w:val="0094707F"/>
    <w:pPr>
      <w:spacing w:line="276" w:lineRule="auto"/>
      <w:jc w:val="both"/>
      <w:outlineLvl w:val="9"/>
    </w:pPr>
    <w:rPr>
      <w:rFonts w:ascii="Cambria" w:eastAsia="Times New Roman" w:hAnsi="Cambria" w:cs="Times New Roman"/>
      <w:color w:val="365F91"/>
      <w:lang w:eastAsia="en-US"/>
    </w:rPr>
  </w:style>
  <w:style w:type="paragraph" w:styleId="Indholdsfortegnelse1">
    <w:name w:val="toc 1"/>
    <w:basedOn w:val="Normal"/>
    <w:next w:val="Normal"/>
    <w:autoRedefine/>
    <w:uiPriority w:val="39"/>
    <w:unhideWhenUsed/>
    <w:rsid w:val="00204EA5"/>
    <w:pPr>
      <w:tabs>
        <w:tab w:val="left" w:pos="480"/>
        <w:tab w:val="right" w:leader="dot" w:pos="9629"/>
      </w:tabs>
      <w:jc w:val="both"/>
    </w:pPr>
    <w:rPr>
      <w:rFonts w:ascii="Trebuchet MS" w:hAnsi="Trebuchet MS"/>
      <w:b/>
      <w:smallCaps/>
      <w:noProof/>
      <w:color w:val="006699"/>
      <w:sz w:val="40"/>
      <w:szCs w:val="40"/>
      <w:lang w:eastAsia="en-US"/>
    </w:rPr>
  </w:style>
  <w:style w:type="paragraph" w:styleId="Indholdsfortegnelse2">
    <w:name w:val="toc 2"/>
    <w:basedOn w:val="Normal"/>
    <w:next w:val="Normal"/>
    <w:autoRedefine/>
    <w:uiPriority w:val="39"/>
    <w:unhideWhenUsed/>
    <w:rsid w:val="0094707F"/>
    <w:pPr>
      <w:tabs>
        <w:tab w:val="left" w:pos="880"/>
        <w:tab w:val="right" w:leader="dot" w:pos="9629"/>
      </w:tabs>
      <w:ind w:left="240"/>
      <w:jc w:val="both"/>
    </w:pPr>
    <w:rPr>
      <w:rFonts w:ascii="Times New Roman" w:hAnsi="Times New Roman"/>
      <w:smallCaps/>
      <w:sz w:val="24"/>
      <w:lang w:eastAsia="en-US"/>
    </w:rPr>
  </w:style>
  <w:style w:type="paragraph" w:styleId="Indholdsfortegnelse3">
    <w:name w:val="toc 3"/>
    <w:basedOn w:val="Normal"/>
    <w:next w:val="Normal"/>
    <w:autoRedefine/>
    <w:uiPriority w:val="39"/>
    <w:unhideWhenUsed/>
    <w:rsid w:val="0094707F"/>
    <w:pPr>
      <w:ind w:left="480"/>
      <w:jc w:val="both"/>
    </w:pPr>
    <w:rPr>
      <w:rFonts w:ascii="Times New Roman" w:hAnsi="Times New Roman"/>
      <w:sz w:val="20"/>
      <w:lang w:eastAsia="en-US"/>
    </w:rPr>
  </w:style>
  <w:style w:type="paragraph" w:styleId="Brdtekst2">
    <w:name w:val="Body Text 2"/>
    <w:basedOn w:val="Normal"/>
    <w:link w:val="Brdtekst2Tegn"/>
    <w:semiHidden/>
    <w:rsid w:val="0094707F"/>
    <w:pPr>
      <w:jc w:val="both"/>
    </w:pPr>
    <w:rPr>
      <w:rFonts w:ascii="Times New Roman" w:hAnsi="Times New Roman"/>
      <w:iCs/>
      <w:sz w:val="24"/>
      <w:lang w:eastAsia="en-US" w:bidi="en-US"/>
    </w:rPr>
  </w:style>
  <w:style w:type="character" w:customStyle="1" w:styleId="Brdtekst2Tegn">
    <w:name w:val="Brødtekst 2 Tegn"/>
    <w:basedOn w:val="Standardskrifttypeiafsnit"/>
    <w:link w:val="Brdtekst2"/>
    <w:semiHidden/>
    <w:rsid w:val="0094707F"/>
    <w:rPr>
      <w:iCs/>
      <w:sz w:val="24"/>
      <w:szCs w:val="24"/>
      <w:lang w:eastAsia="en-US" w:bidi="en-US"/>
    </w:rPr>
  </w:style>
  <w:style w:type="paragraph" w:styleId="Indholdsfortegnelse4">
    <w:name w:val="toc 4"/>
    <w:basedOn w:val="Normal"/>
    <w:next w:val="Normal"/>
    <w:autoRedefine/>
    <w:uiPriority w:val="39"/>
    <w:unhideWhenUsed/>
    <w:rsid w:val="0094707F"/>
    <w:pPr>
      <w:ind w:left="720"/>
      <w:jc w:val="both"/>
    </w:pPr>
    <w:rPr>
      <w:rFonts w:ascii="Times New Roman" w:hAnsi="Times New Roman"/>
      <w:smallCaps/>
      <w:sz w:val="20"/>
      <w:lang w:eastAsia="en-US"/>
    </w:rPr>
  </w:style>
  <w:style w:type="paragraph" w:styleId="Brdtekst">
    <w:name w:val="Body Text"/>
    <w:basedOn w:val="Normal"/>
    <w:link w:val="BrdtekstTegn"/>
    <w:uiPriority w:val="99"/>
    <w:semiHidden/>
    <w:unhideWhenUsed/>
    <w:rsid w:val="0094707F"/>
    <w:pPr>
      <w:spacing w:after="120"/>
      <w:jc w:val="both"/>
    </w:pPr>
    <w:rPr>
      <w:rFonts w:ascii="Times New Roman" w:hAnsi="Times New Roman"/>
      <w:sz w:val="24"/>
      <w:lang w:eastAsia="en-US"/>
    </w:rPr>
  </w:style>
  <w:style w:type="character" w:customStyle="1" w:styleId="BrdtekstTegn">
    <w:name w:val="Brødtekst Tegn"/>
    <w:basedOn w:val="Standardskrifttypeiafsnit"/>
    <w:link w:val="Brdtekst"/>
    <w:uiPriority w:val="99"/>
    <w:semiHidden/>
    <w:rsid w:val="0094707F"/>
    <w:rPr>
      <w:sz w:val="24"/>
      <w:szCs w:val="24"/>
      <w:lang w:eastAsia="en-US"/>
    </w:rPr>
  </w:style>
  <w:style w:type="character" w:customStyle="1" w:styleId="CitattekstTegnTegn">
    <w:name w:val="Citattekst Tegn Tegn"/>
    <w:basedOn w:val="Standardskrifttypeiafsnit"/>
    <w:rsid w:val="0094707F"/>
    <w:rPr>
      <w:rFonts w:ascii="Garamond" w:hAnsi="Garamond"/>
      <w:i/>
      <w:szCs w:val="24"/>
      <w:lang w:eastAsia="en-US"/>
    </w:rPr>
  </w:style>
  <w:style w:type="paragraph" w:customStyle="1" w:styleId="Farvetgitter-fremhvningsfarve13">
    <w:name w:val="Farvet gitter - fremhævningsfarve 13"/>
    <w:basedOn w:val="Normal"/>
    <w:next w:val="Normal"/>
    <w:link w:val="Farvetgitter-fremhvningsfarve1Tegn"/>
    <w:uiPriority w:val="29"/>
    <w:qFormat/>
    <w:rsid w:val="0094707F"/>
    <w:pPr>
      <w:ind w:left="720"/>
    </w:pPr>
    <w:rPr>
      <w:rFonts w:ascii="Times New Roman" w:hAnsi="Times New Roman"/>
      <w:i/>
      <w:sz w:val="20"/>
      <w:lang w:val="en-US" w:eastAsia="en-US" w:bidi="en-US"/>
    </w:rPr>
  </w:style>
  <w:style w:type="character" w:customStyle="1" w:styleId="Farvetgitter-fremhvningsfarve1Tegn">
    <w:name w:val="Farvet gitter - fremhævningsfarve 1 Tegn"/>
    <w:basedOn w:val="Standardskrifttypeiafsnit"/>
    <w:link w:val="Farvetgitter-fremhvningsfarve13"/>
    <w:uiPriority w:val="29"/>
    <w:rsid w:val="0094707F"/>
    <w:rPr>
      <w:i/>
      <w:szCs w:val="24"/>
      <w:lang w:val="en-US" w:eastAsia="en-US" w:bidi="en-US"/>
    </w:rPr>
  </w:style>
  <w:style w:type="character" w:customStyle="1" w:styleId="apple-style-span">
    <w:name w:val="apple-style-span"/>
    <w:basedOn w:val="Standardskrifttypeiafsnit"/>
    <w:rsid w:val="0094707F"/>
  </w:style>
  <w:style w:type="paragraph" w:customStyle="1" w:styleId="Citat1">
    <w:name w:val="Citat1"/>
    <w:basedOn w:val="Normal"/>
    <w:next w:val="Normal"/>
    <w:link w:val="QuoteChar"/>
    <w:uiPriority w:val="29"/>
    <w:qFormat/>
    <w:rsid w:val="0094707F"/>
    <w:pPr>
      <w:ind w:left="1304"/>
      <w:jc w:val="both"/>
    </w:pPr>
    <w:rPr>
      <w:rFonts w:ascii="Times New Roman" w:hAnsi="Times New Roman"/>
      <w:i/>
      <w:iCs/>
      <w:color w:val="000000"/>
      <w:sz w:val="20"/>
      <w:lang w:eastAsia="en-US"/>
    </w:rPr>
  </w:style>
  <w:style w:type="character" w:customStyle="1" w:styleId="QuoteChar">
    <w:name w:val="Quote Char"/>
    <w:basedOn w:val="Standardskrifttypeiafsnit"/>
    <w:link w:val="Citat1"/>
    <w:uiPriority w:val="29"/>
    <w:rsid w:val="0094707F"/>
    <w:rPr>
      <w:i/>
      <w:iCs/>
      <w:color w:val="000000"/>
      <w:szCs w:val="24"/>
      <w:lang w:eastAsia="en-US"/>
    </w:rPr>
  </w:style>
  <w:style w:type="paragraph" w:customStyle="1" w:styleId="Farvetliste-fremhvningsfarve11">
    <w:name w:val="Farvet liste - fremhævningsfarve 11"/>
    <w:basedOn w:val="Normal"/>
    <w:uiPriority w:val="34"/>
    <w:qFormat/>
    <w:rsid w:val="0094707F"/>
    <w:pPr>
      <w:ind w:left="1304"/>
      <w:jc w:val="both"/>
    </w:pPr>
    <w:rPr>
      <w:rFonts w:ascii="Times New Roman" w:hAnsi="Times New Roman"/>
      <w:sz w:val="24"/>
      <w:lang w:eastAsia="en-US"/>
    </w:rPr>
  </w:style>
  <w:style w:type="paragraph" w:customStyle="1" w:styleId="Farvetgitter-fremhvningsfarve11">
    <w:name w:val="Farvet gitter - fremhævningsfarve 11"/>
    <w:basedOn w:val="Normal"/>
    <w:next w:val="Normal"/>
    <w:uiPriority w:val="29"/>
    <w:qFormat/>
    <w:rsid w:val="0094707F"/>
    <w:pPr>
      <w:ind w:left="720"/>
    </w:pPr>
    <w:rPr>
      <w:rFonts w:ascii="Times New Roman" w:hAnsi="Times New Roman"/>
      <w:i/>
      <w:sz w:val="20"/>
      <w:lang w:val="en-US" w:eastAsia="en-US" w:bidi="en-US"/>
    </w:rPr>
  </w:style>
  <w:style w:type="character" w:customStyle="1" w:styleId="Farvetgitter-fremhvningsfarve1Tegn1">
    <w:name w:val="Farvet gitter - fremhævningsfarve 1 Tegn1"/>
    <w:basedOn w:val="Standardskrifttypeiafsnit"/>
    <w:link w:val="Farvetgitter-fremhvningsfarve12"/>
    <w:uiPriority w:val="29"/>
    <w:rsid w:val="0094707F"/>
    <w:rPr>
      <w:rFonts w:ascii="Garamond" w:hAnsi="Garamond"/>
      <w:i/>
      <w:iCs/>
      <w:color w:val="000000"/>
      <w:szCs w:val="24"/>
      <w:lang w:eastAsia="en-US"/>
    </w:rPr>
  </w:style>
  <w:style w:type="paragraph" w:customStyle="1" w:styleId="Farvetgitter-fremhvningsfarve12">
    <w:name w:val="Farvet gitter - fremhævningsfarve 12"/>
    <w:basedOn w:val="Normal"/>
    <w:next w:val="Normal"/>
    <w:link w:val="Farvetgitter-fremhvningsfarve1Tegn1"/>
    <w:uiPriority w:val="29"/>
    <w:qFormat/>
    <w:rsid w:val="0094707F"/>
    <w:pPr>
      <w:jc w:val="both"/>
    </w:pPr>
    <w:rPr>
      <w:rFonts w:ascii="Garamond" w:hAnsi="Garamond"/>
      <w:i/>
      <w:iCs/>
      <w:color w:val="000000"/>
      <w:sz w:val="20"/>
      <w:lang w:eastAsia="en-US"/>
    </w:rPr>
  </w:style>
  <w:style w:type="character" w:customStyle="1" w:styleId="Mediumgitter1-fremhvningsfarve4Tegn">
    <w:name w:val="Medium gitter 1 - fremhævningsfarve 4 Tegn"/>
    <w:basedOn w:val="Standardskrifttypeiafsnit"/>
    <w:link w:val="MediumGrid1-Accent4"/>
    <w:uiPriority w:val="29"/>
    <w:rsid w:val="0094707F"/>
    <w:rPr>
      <w:rFonts w:ascii="Garamond" w:hAnsi="Garamond"/>
      <w:i/>
      <w:iCs/>
      <w:color w:val="000000"/>
      <w:sz w:val="24"/>
      <w:szCs w:val="24"/>
      <w:lang w:eastAsia="en-US"/>
    </w:rPr>
  </w:style>
  <w:style w:type="table" w:customStyle="1" w:styleId="MediumGrid1-Accent4">
    <w:name w:val="Medium Grid 1 - Accent 4"/>
    <w:basedOn w:val="Tabel-Normal"/>
    <w:link w:val="Mediumgitter1-fremhvningsfarve4Tegn"/>
    <w:uiPriority w:val="29"/>
    <w:rsid w:val="0094707F"/>
    <w:rPr>
      <w:rFonts w:ascii="Garamond" w:hAnsi="Garamond"/>
      <w:i/>
      <w:iCs/>
      <w:color w:val="000000"/>
      <w:sz w:val="24"/>
      <w:szCs w:val="24"/>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character" w:customStyle="1" w:styleId="Farvetliste-fremhvningsfarve3Tegn">
    <w:name w:val="Farvet liste - fremhævningsfarve 3 Tegn"/>
    <w:basedOn w:val="Standardskrifttypeiafsnit"/>
    <w:link w:val="ColorfulList-Accent3"/>
    <w:uiPriority w:val="29"/>
    <w:rsid w:val="0094707F"/>
    <w:rPr>
      <w:rFonts w:ascii="Garamond" w:hAnsi="Garamond"/>
      <w:i/>
      <w:iCs/>
      <w:color w:val="000000"/>
      <w:sz w:val="24"/>
      <w:szCs w:val="24"/>
      <w:lang w:eastAsia="en-US"/>
    </w:rPr>
  </w:style>
  <w:style w:type="table" w:customStyle="1" w:styleId="ColorfulList-Accent3">
    <w:name w:val="Colorful List - Accent 3"/>
    <w:basedOn w:val="Tabel-Normal"/>
    <w:link w:val="Farvetliste-fremhvningsfarve3Tegn"/>
    <w:uiPriority w:val="29"/>
    <w:rsid w:val="0094707F"/>
    <w:rPr>
      <w:rFonts w:ascii="Garamond" w:hAnsi="Garamond"/>
      <w:i/>
      <w:iCs/>
      <w:color w:val="000000"/>
      <w:sz w:val="24"/>
      <w:szCs w:val="24"/>
      <w:lang w:eastAsia="en-US"/>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character" w:customStyle="1" w:styleId="news-show-bodytext">
    <w:name w:val="news-show-bodytext"/>
    <w:basedOn w:val="Standardskrifttypeiafsnit"/>
    <w:rsid w:val="0094707F"/>
  </w:style>
  <w:style w:type="character" w:customStyle="1" w:styleId="CitatTegn1">
    <w:name w:val="Citat Tegn1"/>
    <w:basedOn w:val="Standardskrifttypeiafsnit"/>
    <w:uiPriority w:val="29"/>
    <w:rsid w:val="0094707F"/>
    <w:rPr>
      <w:rFonts w:ascii="Garamond" w:hAnsi="Garamond"/>
      <w:i/>
      <w:iCs/>
      <w:color w:val="000000"/>
      <w:sz w:val="24"/>
      <w:szCs w:val="24"/>
      <w:lang w:eastAsia="en-US"/>
    </w:rPr>
  </w:style>
  <w:style w:type="character" w:customStyle="1" w:styleId="Mediumgitter2-fremhvningsfarve2Tegn">
    <w:name w:val="Medium gitter 2 - fremhævningsfarve 2 Tegn"/>
    <w:basedOn w:val="Standardskrifttypeiafsnit"/>
    <w:link w:val="MediumGrid2-Accent2"/>
    <w:uiPriority w:val="29"/>
    <w:rsid w:val="0094707F"/>
    <w:rPr>
      <w:rFonts w:ascii="Garamond" w:hAnsi="Garamond"/>
      <w:i/>
      <w:iCs/>
      <w:color w:val="000000"/>
      <w:szCs w:val="24"/>
      <w:lang w:eastAsia="en-US"/>
    </w:rPr>
  </w:style>
  <w:style w:type="table" w:customStyle="1" w:styleId="MediumGrid2-Accent2">
    <w:name w:val="Medium Grid 2 - Accent 2"/>
    <w:basedOn w:val="Tabel-Normal"/>
    <w:link w:val="Mediumgitter2-fremhvningsfarve2Tegn"/>
    <w:uiPriority w:val="29"/>
    <w:rsid w:val="0094707F"/>
    <w:rPr>
      <w:rFonts w:ascii="Garamond" w:hAnsi="Garamond"/>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customStyle="1" w:styleId="TypografiKursiv">
    <w:name w:val="Typografi Kursiv"/>
    <w:basedOn w:val="Farvetgitter-fremhvningsfarve13"/>
    <w:rsid w:val="0094707F"/>
    <w:pPr>
      <w:ind w:left="1304"/>
      <w:jc w:val="both"/>
    </w:pPr>
    <w:rPr>
      <w:iCs/>
      <w:color w:val="000000"/>
      <w:lang w:val="da-DK" w:bidi="ar-SA"/>
    </w:rPr>
  </w:style>
  <w:style w:type="paragraph" w:customStyle="1" w:styleId="Listeafsnit1">
    <w:name w:val="Listeafsnit1"/>
    <w:basedOn w:val="Normal"/>
    <w:uiPriority w:val="34"/>
    <w:qFormat/>
    <w:rsid w:val="0094707F"/>
    <w:pPr>
      <w:ind w:left="720"/>
      <w:contextualSpacing/>
    </w:pPr>
    <w:rPr>
      <w:rFonts w:ascii="Cambria" w:eastAsia="Cambria" w:hAnsi="Cambria"/>
      <w:sz w:val="24"/>
      <w:lang w:eastAsia="en-US"/>
    </w:rPr>
  </w:style>
  <w:style w:type="paragraph" w:customStyle="1" w:styleId="Mediumgitter2-fremhvningsfarve21">
    <w:name w:val="Medium gitter 2 - fremhævningsfarve 21"/>
    <w:basedOn w:val="Normal"/>
    <w:next w:val="Normal"/>
    <w:uiPriority w:val="29"/>
    <w:qFormat/>
    <w:rsid w:val="0094707F"/>
    <w:pPr>
      <w:jc w:val="both"/>
    </w:pPr>
    <w:rPr>
      <w:rFonts w:ascii="Times New Roman" w:hAnsi="Times New Roman"/>
      <w:i/>
      <w:iCs/>
      <w:color w:val="000000"/>
      <w:sz w:val="20"/>
      <w:lang w:eastAsia="en-US"/>
    </w:rPr>
  </w:style>
  <w:style w:type="paragraph" w:customStyle="1" w:styleId="Mediumgitter1-fremhvningsfarve21">
    <w:name w:val="Medium gitter 1 - fremhævningsfarve 21"/>
    <w:basedOn w:val="Normal"/>
    <w:uiPriority w:val="34"/>
    <w:qFormat/>
    <w:rsid w:val="0094707F"/>
    <w:pPr>
      <w:ind w:left="720"/>
      <w:contextualSpacing/>
    </w:pPr>
    <w:rPr>
      <w:rFonts w:ascii="Calibri" w:hAnsi="Calibri"/>
      <w:sz w:val="24"/>
      <w:lang w:val="en-US" w:eastAsia="en-US" w:bidi="en-US"/>
    </w:rPr>
  </w:style>
  <w:style w:type="character" w:customStyle="1" w:styleId="Farvetgitter-fremhvningsfarve1Tegn2">
    <w:name w:val="Farvet gitter - fremhævningsfarve 1 Tegn2"/>
    <w:basedOn w:val="Standardskrifttypeiafsnit"/>
    <w:link w:val="ColorfulGrid-Accent1"/>
    <w:uiPriority w:val="29"/>
    <w:rsid w:val="0094707F"/>
    <w:rPr>
      <w:rFonts w:ascii="Garamond" w:hAnsi="Garamond"/>
      <w:i/>
      <w:iCs/>
      <w:color w:val="000000"/>
      <w:szCs w:val="24"/>
      <w:lang w:eastAsia="en-US"/>
    </w:rPr>
  </w:style>
  <w:style w:type="table" w:customStyle="1" w:styleId="ColorfulGrid-Accent1">
    <w:name w:val="Colorful Grid - Accent 1"/>
    <w:basedOn w:val="Tabel-Normal"/>
    <w:link w:val="Farvetgitter-fremhvningsfarve1Tegn2"/>
    <w:uiPriority w:val="29"/>
    <w:rsid w:val="0094707F"/>
    <w:rPr>
      <w:rFonts w:ascii="Garamond" w:hAnsi="Garamond"/>
      <w:i/>
      <w:iCs/>
      <w:color w:val="000000"/>
      <w:szCs w:val="24"/>
      <w:lang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Grid-Accent5">
    <w:name w:val="Light Grid - Accent 5"/>
    <w:basedOn w:val="Tabel-Normal"/>
    <w:uiPriority w:val="29"/>
    <w:rsid w:val="0094707F"/>
    <w:rPr>
      <w:rFonts w:ascii="Garamond" w:hAnsi="Garamond"/>
      <w:i/>
      <w:iCs/>
      <w:color w:val="000000"/>
      <w:sz w:val="24"/>
      <w:szCs w:val="24"/>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MediumShading1-Accent3">
    <w:name w:val="Medium Shading 1 - Accent 3"/>
    <w:basedOn w:val="Tabel-Normal"/>
    <w:uiPriority w:val="29"/>
    <w:rsid w:val="0094707F"/>
    <w:rPr>
      <w:rFonts w:ascii="Garamond" w:hAnsi="Garamond"/>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Tabel-Gitter">
    <w:name w:val="Table Grid"/>
    <w:basedOn w:val="Tabel-Normal"/>
    <w:rsid w:val="0094707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94707F"/>
  </w:style>
  <w:style w:type="paragraph" w:customStyle="1" w:styleId="TypografiOverskrift3TrebuchetMS14pktLinjeafstandenkelt">
    <w:name w:val="Typografi Overskrift 3 + Trebuchet MS 14 pkt Linjeafstand:  enkelt"/>
    <w:basedOn w:val="Overskrift3"/>
    <w:rsid w:val="0094707F"/>
    <w:pPr>
      <w:numPr>
        <w:ilvl w:val="2"/>
      </w:numPr>
      <w:spacing w:before="0" w:after="0"/>
      <w:ind w:left="720" w:hanging="720"/>
    </w:pPr>
    <w:rPr>
      <w:rFonts w:ascii="Trebuchet MS" w:hAnsi="Trebuchet MS" w:cs="Times New Roman"/>
      <w:sz w:val="28"/>
      <w:szCs w:val="20"/>
    </w:rPr>
  </w:style>
  <w:style w:type="paragraph" w:customStyle="1" w:styleId="TypografiTypografiOverskrift3TrebuchetMS14pktLinjeafstande">
    <w:name w:val="Typografi Typografi Overskrift 3 + Trebuchet MS 14 pkt Linjeafstand:  e..."/>
    <w:basedOn w:val="TypografiOverskrift3TrebuchetMS14pktLinjeafstandenkelt"/>
    <w:rsid w:val="0094707F"/>
    <w:pPr>
      <w:jc w:val="right"/>
    </w:pPr>
  </w:style>
  <w:style w:type="paragraph" w:customStyle="1" w:styleId="SidehovedSTOR">
    <w:name w:val="Sidehoved STOR"/>
    <w:basedOn w:val="Sidehoved"/>
    <w:rsid w:val="0094707F"/>
    <w:pPr>
      <w:tabs>
        <w:tab w:val="clear" w:pos="4819"/>
        <w:tab w:val="clear" w:pos="9638"/>
        <w:tab w:val="center" w:pos="4320"/>
        <w:tab w:val="right" w:pos="8640"/>
      </w:tabs>
      <w:jc w:val="left"/>
    </w:pPr>
    <w:rPr>
      <w:b/>
      <w:szCs w:val="16"/>
      <w:lang w:val="en-US"/>
    </w:rPr>
  </w:style>
  <w:style w:type="paragraph" w:customStyle="1" w:styleId="xl24">
    <w:name w:val="xl24"/>
    <w:basedOn w:val="Normal"/>
    <w:rsid w:val="0094707F"/>
    <w:pPr>
      <w:shd w:val="clear" w:color="auto" w:fill="FFFFFF"/>
      <w:spacing w:before="100" w:beforeAutospacing="1" w:after="100" w:afterAutospacing="1"/>
    </w:pPr>
    <w:rPr>
      <w:rFonts w:cs="Arial"/>
      <w:b/>
      <w:bCs/>
      <w:sz w:val="16"/>
      <w:szCs w:val="16"/>
    </w:rPr>
  </w:style>
  <w:style w:type="paragraph" w:customStyle="1" w:styleId="xl25">
    <w:name w:val="xl25"/>
    <w:basedOn w:val="Normal"/>
    <w:rsid w:val="0094707F"/>
    <w:pPr>
      <w:shd w:val="clear" w:color="auto" w:fill="FFFFFF"/>
      <w:spacing w:before="100" w:beforeAutospacing="1" w:after="100" w:afterAutospacing="1"/>
      <w:jc w:val="center"/>
      <w:textAlignment w:val="center"/>
    </w:pPr>
    <w:rPr>
      <w:rFonts w:cs="Arial"/>
      <w:color w:val="000000"/>
      <w:sz w:val="16"/>
      <w:szCs w:val="16"/>
    </w:rPr>
  </w:style>
  <w:style w:type="paragraph" w:customStyle="1" w:styleId="xl26">
    <w:name w:val="xl26"/>
    <w:basedOn w:val="Normal"/>
    <w:rsid w:val="0094707F"/>
    <w:pPr>
      <w:shd w:val="clear" w:color="auto" w:fill="FFFFFF"/>
      <w:spacing w:before="100" w:beforeAutospacing="1" w:after="100" w:afterAutospacing="1"/>
      <w:jc w:val="center"/>
      <w:textAlignment w:val="center"/>
    </w:pPr>
    <w:rPr>
      <w:rFonts w:cs="Arial"/>
      <w:color w:val="000000"/>
      <w:sz w:val="16"/>
      <w:szCs w:val="16"/>
    </w:rPr>
  </w:style>
  <w:style w:type="paragraph" w:customStyle="1" w:styleId="xl27">
    <w:name w:val="xl27"/>
    <w:basedOn w:val="Normal"/>
    <w:rsid w:val="0094707F"/>
    <w:pPr>
      <w:shd w:val="clear" w:color="auto" w:fill="FFFFFF"/>
      <w:spacing w:before="100" w:beforeAutospacing="1" w:after="100" w:afterAutospacing="1"/>
    </w:pPr>
    <w:rPr>
      <w:rFonts w:cs="Arial"/>
      <w:sz w:val="16"/>
      <w:szCs w:val="16"/>
    </w:rPr>
  </w:style>
  <w:style w:type="paragraph" w:customStyle="1" w:styleId="xl28">
    <w:name w:val="xl28"/>
    <w:basedOn w:val="Normal"/>
    <w:rsid w:val="0094707F"/>
    <w:pPr>
      <w:shd w:val="clear" w:color="auto" w:fill="FFFFFF"/>
      <w:spacing w:before="100" w:beforeAutospacing="1" w:after="100" w:afterAutospacing="1"/>
      <w:jc w:val="center"/>
    </w:pPr>
    <w:rPr>
      <w:rFonts w:cs="Arial"/>
      <w:sz w:val="16"/>
      <w:szCs w:val="16"/>
    </w:rPr>
  </w:style>
  <w:style w:type="paragraph" w:customStyle="1" w:styleId="xl29">
    <w:name w:val="xl29"/>
    <w:basedOn w:val="Normal"/>
    <w:rsid w:val="0094707F"/>
    <w:pPr>
      <w:pBdr>
        <w:bottom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30">
    <w:name w:val="xl30"/>
    <w:basedOn w:val="Normal"/>
    <w:rsid w:val="0094707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31">
    <w:name w:val="xl31"/>
    <w:basedOn w:val="Normal"/>
    <w:rsid w:val="0094707F"/>
    <w:pPr>
      <w:pBdr>
        <w:top w:val="single" w:sz="4" w:space="0" w:color="auto"/>
        <w:bottom w:val="single" w:sz="4" w:space="0" w:color="auto"/>
      </w:pBdr>
      <w:shd w:val="clear" w:color="auto" w:fill="FFFFFF"/>
      <w:spacing w:before="100" w:beforeAutospacing="1" w:after="100" w:afterAutospacing="1"/>
      <w:jc w:val="center"/>
    </w:pPr>
    <w:rPr>
      <w:rFonts w:cs="Arial"/>
      <w:b/>
      <w:bCs/>
      <w:sz w:val="16"/>
      <w:szCs w:val="16"/>
    </w:rPr>
  </w:style>
  <w:style w:type="paragraph" w:customStyle="1" w:styleId="xl32">
    <w:name w:val="xl32"/>
    <w:basedOn w:val="Normal"/>
    <w:rsid w:val="0094707F"/>
    <w:pPr>
      <w:pBdr>
        <w:top w:val="single" w:sz="4" w:space="0" w:color="auto"/>
      </w:pBdr>
      <w:shd w:val="clear" w:color="auto" w:fill="FFFFFF"/>
      <w:spacing w:before="100" w:beforeAutospacing="1" w:after="100" w:afterAutospacing="1"/>
      <w:textAlignment w:val="center"/>
    </w:pPr>
    <w:rPr>
      <w:rFonts w:cs="Arial"/>
      <w:b/>
      <w:bCs/>
      <w:color w:val="000000"/>
      <w:sz w:val="16"/>
      <w:szCs w:val="16"/>
    </w:rPr>
  </w:style>
  <w:style w:type="paragraph" w:customStyle="1" w:styleId="xl33">
    <w:name w:val="xl33"/>
    <w:basedOn w:val="Normal"/>
    <w:rsid w:val="0094707F"/>
    <w:pPr>
      <w:pBdr>
        <w:top w:val="single" w:sz="4" w:space="0" w:color="auto"/>
      </w:pBdr>
      <w:shd w:val="clear" w:color="auto" w:fill="FFFFFF"/>
      <w:spacing w:before="100" w:beforeAutospacing="1" w:after="100" w:afterAutospacing="1"/>
    </w:pPr>
    <w:rPr>
      <w:rFonts w:cs="Arial"/>
      <w:b/>
      <w:bCs/>
      <w:sz w:val="16"/>
      <w:szCs w:val="16"/>
    </w:rPr>
  </w:style>
  <w:style w:type="paragraph" w:customStyle="1" w:styleId="xl34">
    <w:name w:val="xl34"/>
    <w:basedOn w:val="Normal"/>
    <w:rsid w:val="0094707F"/>
    <w:pPr>
      <w:shd w:val="clear" w:color="auto" w:fill="FFFFFF"/>
      <w:spacing w:before="100" w:beforeAutospacing="1" w:after="100" w:afterAutospacing="1"/>
      <w:jc w:val="right"/>
      <w:textAlignment w:val="center"/>
    </w:pPr>
    <w:rPr>
      <w:rFonts w:cs="Arial"/>
      <w:color w:val="000000"/>
      <w:sz w:val="16"/>
      <w:szCs w:val="16"/>
    </w:rPr>
  </w:style>
  <w:style w:type="paragraph" w:customStyle="1" w:styleId="xl35">
    <w:name w:val="xl35"/>
    <w:basedOn w:val="Normal"/>
    <w:rsid w:val="0094707F"/>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cs="Arial"/>
      <w:b/>
      <w:bCs/>
      <w:sz w:val="16"/>
      <w:szCs w:val="16"/>
    </w:rPr>
  </w:style>
  <w:style w:type="paragraph" w:customStyle="1" w:styleId="xl36">
    <w:name w:val="xl36"/>
    <w:basedOn w:val="Normal"/>
    <w:rsid w:val="0094707F"/>
    <w:pPr>
      <w:pBdr>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37">
    <w:name w:val="xl37"/>
    <w:basedOn w:val="Normal"/>
    <w:rsid w:val="0094707F"/>
    <w:pPr>
      <w:pBdr>
        <w:top w:val="single" w:sz="4" w:space="0" w:color="auto"/>
      </w:pBdr>
      <w:shd w:val="clear" w:color="auto" w:fill="FFFFFF"/>
      <w:spacing w:before="100" w:beforeAutospacing="1" w:after="100" w:afterAutospacing="1"/>
      <w:jc w:val="center"/>
      <w:textAlignment w:val="center"/>
    </w:pPr>
    <w:rPr>
      <w:rFonts w:cs="Arial"/>
      <w:color w:val="000000"/>
      <w:sz w:val="16"/>
      <w:szCs w:val="16"/>
    </w:rPr>
  </w:style>
  <w:style w:type="paragraph" w:customStyle="1" w:styleId="xl38">
    <w:name w:val="xl38"/>
    <w:basedOn w:val="Normal"/>
    <w:rsid w:val="0094707F"/>
    <w:pPr>
      <w:pBdr>
        <w:top w:val="single" w:sz="4" w:space="0" w:color="auto"/>
      </w:pBdr>
      <w:shd w:val="clear" w:color="auto" w:fill="FFFFFF"/>
      <w:spacing w:before="100" w:beforeAutospacing="1" w:after="100" w:afterAutospacing="1"/>
    </w:pPr>
    <w:rPr>
      <w:rFonts w:cs="Arial"/>
      <w:sz w:val="16"/>
      <w:szCs w:val="16"/>
    </w:rPr>
  </w:style>
  <w:style w:type="paragraph" w:customStyle="1" w:styleId="xl39">
    <w:name w:val="xl39"/>
    <w:basedOn w:val="Normal"/>
    <w:rsid w:val="0094707F"/>
    <w:pPr>
      <w:pBdr>
        <w:left w:val="single" w:sz="4" w:space="0" w:color="auto"/>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40">
    <w:name w:val="xl40"/>
    <w:basedOn w:val="Normal"/>
    <w:rsid w:val="0094707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cs="Arial"/>
      <w:b/>
      <w:bCs/>
      <w:color w:val="000000"/>
      <w:sz w:val="16"/>
      <w:szCs w:val="16"/>
    </w:rPr>
  </w:style>
  <w:style w:type="paragraph" w:customStyle="1" w:styleId="xl41">
    <w:name w:val="xl41"/>
    <w:basedOn w:val="Normal"/>
    <w:rsid w:val="0094707F"/>
    <w:pPr>
      <w:pBdr>
        <w:top w:val="single" w:sz="4" w:space="0" w:color="auto"/>
        <w:bottom w:val="single" w:sz="4" w:space="0" w:color="auto"/>
      </w:pBdr>
      <w:shd w:val="clear" w:color="auto" w:fill="FFFFFF"/>
      <w:spacing w:before="100" w:beforeAutospacing="1" w:after="100" w:afterAutospacing="1"/>
      <w:jc w:val="right"/>
      <w:textAlignment w:val="center"/>
    </w:pPr>
    <w:rPr>
      <w:rFonts w:cs="Arial"/>
      <w:b/>
      <w:bCs/>
      <w:color w:val="000000"/>
      <w:sz w:val="16"/>
      <w:szCs w:val="16"/>
    </w:rPr>
  </w:style>
  <w:style w:type="paragraph" w:customStyle="1" w:styleId="xl42">
    <w:name w:val="xl42"/>
    <w:basedOn w:val="Normal"/>
    <w:rsid w:val="0094707F"/>
    <w:pPr>
      <w:pBdr>
        <w:top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cs="Arial"/>
      <w:b/>
      <w:bCs/>
      <w:color w:val="000000"/>
      <w:sz w:val="16"/>
      <w:szCs w:val="16"/>
    </w:rPr>
  </w:style>
  <w:style w:type="paragraph" w:customStyle="1" w:styleId="xl43">
    <w:name w:val="xl43"/>
    <w:basedOn w:val="Normal"/>
    <w:rsid w:val="0094707F"/>
    <w:pPr>
      <w:pBdr>
        <w:top w:val="single" w:sz="4" w:space="0" w:color="auto"/>
        <w:left w:val="single" w:sz="4" w:space="0" w:color="auto"/>
      </w:pBdr>
      <w:shd w:val="clear" w:color="auto" w:fill="FFFFFF"/>
      <w:spacing w:before="100" w:beforeAutospacing="1" w:after="100" w:afterAutospacing="1"/>
    </w:pPr>
    <w:rPr>
      <w:rFonts w:cs="Arial"/>
      <w:sz w:val="16"/>
      <w:szCs w:val="16"/>
    </w:rPr>
  </w:style>
  <w:style w:type="paragraph" w:customStyle="1" w:styleId="xl44">
    <w:name w:val="xl44"/>
    <w:basedOn w:val="Normal"/>
    <w:rsid w:val="0094707F"/>
    <w:pPr>
      <w:pBdr>
        <w:left w:val="single" w:sz="4" w:space="0" w:color="auto"/>
      </w:pBdr>
      <w:shd w:val="clear" w:color="auto" w:fill="FFFFFF"/>
      <w:spacing w:before="100" w:beforeAutospacing="1" w:after="100" w:afterAutospacing="1"/>
      <w:jc w:val="center"/>
      <w:textAlignment w:val="center"/>
    </w:pPr>
    <w:rPr>
      <w:rFonts w:cs="Arial"/>
      <w:color w:val="000000"/>
      <w:sz w:val="16"/>
      <w:szCs w:val="16"/>
    </w:rPr>
  </w:style>
  <w:style w:type="paragraph" w:customStyle="1" w:styleId="xl45">
    <w:name w:val="xl45"/>
    <w:basedOn w:val="Normal"/>
    <w:rsid w:val="0094707F"/>
    <w:pPr>
      <w:pBdr>
        <w:left w:val="single" w:sz="4" w:space="0" w:color="auto"/>
        <w:bottom w:val="single" w:sz="4" w:space="0" w:color="auto"/>
      </w:pBdr>
      <w:shd w:val="clear" w:color="auto" w:fill="FFFFFF"/>
      <w:spacing w:before="100" w:beforeAutospacing="1" w:after="100" w:afterAutospacing="1"/>
      <w:jc w:val="center"/>
      <w:textAlignment w:val="center"/>
    </w:pPr>
    <w:rPr>
      <w:rFonts w:cs="Arial"/>
      <w:b/>
      <w:bCs/>
      <w:sz w:val="16"/>
      <w:szCs w:val="16"/>
    </w:rPr>
  </w:style>
  <w:style w:type="paragraph" w:customStyle="1" w:styleId="xl46">
    <w:name w:val="xl46"/>
    <w:basedOn w:val="Normal"/>
    <w:rsid w:val="0094707F"/>
    <w:pPr>
      <w:pBdr>
        <w:left w:val="single" w:sz="4" w:space="0" w:color="auto"/>
      </w:pBdr>
      <w:shd w:val="clear" w:color="auto" w:fill="FFFFFF"/>
      <w:spacing w:before="100" w:beforeAutospacing="1" w:after="100" w:afterAutospacing="1"/>
      <w:jc w:val="center"/>
      <w:textAlignment w:val="center"/>
    </w:pPr>
    <w:rPr>
      <w:rFonts w:cs="Arial"/>
      <w:b/>
      <w:bCs/>
      <w:sz w:val="16"/>
      <w:szCs w:val="16"/>
    </w:rPr>
  </w:style>
  <w:style w:type="paragraph" w:customStyle="1" w:styleId="xl47">
    <w:name w:val="xl47"/>
    <w:basedOn w:val="Normal"/>
    <w:rsid w:val="0094707F"/>
    <w:pPr>
      <w:pBdr>
        <w:bottom w:val="single" w:sz="4" w:space="0" w:color="auto"/>
        <w:right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48">
    <w:name w:val="xl48"/>
    <w:basedOn w:val="Normal"/>
    <w:rsid w:val="0094707F"/>
    <w:pPr>
      <w:pBdr>
        <w:top w:val="single" w:sz="4" w:space="0" w:color="auto"/>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49">
    <w:name w:val="xl49"/>
    <w:basedOn w:val="Normal"/>
    <w:rsid w:val="0094707F"/>
    <w:pPr>
      <w:pBdr>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0">
    <w:name w:val="xl50"/>
    <w:basedOn w:val="Normal"/>
    <w:rsid w:val="0094707F"/>
    <w:pPr>
      <w:pBdr>
        <w:top w:val="single" w:sz="4" w:space="0" w:color="auto"/>
      </w:pBdr>
      <w:shd w:val="clear" w:color="auto" w:fill="FFFFFF"/>
      <w:spacing w:before="100" w:beforeAutospacing="1" w:after="100" w:afterAutospacing="1"/>
      <w:jc w:val="center"/>
    </w:pPr>
    <w:rPr>
      <w:rFonts w:cs="Arial"/>
      <w:sz w:val="16"/>
      <w:szCs w:val="16"/>
    </w:rPr>
  </w:style>
  <w:style w:type="paragraph" w:customStyle="1" w:styleId="xl51">
    <w:name w:val="xl51"/>
    <w:basedOn w:val="Normal"/>
    <w:rsid w:val="0094707F"/>
    <w:pPr>
      <w:pBdr>
        <w:top w:val="single" w:sz="4" w:space="0" w:color="auto"/>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2">
    <w:name w:val="xl52"/>
    <w:basedOn w:val="Normal"/>
    <w:rsid w:val="0094707F"/>
    <w:pPr>
      <w:pBdr>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3">
    <w:name w:val="xl53"/>
    <w:basedOn w:val="Normal"/>
    <w:rsid w:val="0094707F"/>
    <w:pPr>
      <w:pBdr>
        <w:top w:val="single" w:sz="4" w:space="0" w:color="auto"/>
      </w:pBdr>
      <w:shd w:val="clear" w:color="auto" w:fill="FFFFFF"/>
      <w:spacing w:before="100" w:beforeAutospacing="1" w:after="100" w:afterAutospacing="1"/>
      <w:jc w:val="center"/>
    </w:pPr>
    <w:rPr>
      <w:rFonts w:cs="Arial"/>
      <w:sz w:val="16"/>
      <w:szCs w:val="16"/>
    </w:rPr>
  </w:style>
  <w:style w:type="paragraph" w:customStyle="1" w:styleId="xl54">
    <w:name w:val="xl54"/>
    <w:basedOn w:val="Normal"/>
    <w:rsid w:val="0094707F"/>
    <w:pPr>
      <w:pBdr>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5">
    <w:name w:val="xl55"/>
    <w:basedOn w:val="Normal"/>
    <w:rsid w:val="0094707F"/>
    <w:pPr>
      <w:pBdr>
        <w:top w:val="single" w:sz="4" w:space="0" w:color="auto"/>
      </w:pBdr>
      <w:shd w:val="clear" w:color="auto" w:fill="FFFFFF"/>
      <w:spacing w:before="100" w:beforeAutospacing="1" w:after="100" w:afterAutospacing="1"/>
      <w:jc w:val="center"/>
    </w:pPr>
    <w:rPr>
      <w:rFonts w:cs="Arial"/>
      <w:sz w:val="16"/>
      <w:szCs w:val="16"/>
    </w:rPr>
  </w:style>
  <w:style w:type="paragraph" w:customStyle="1" w:styleId="xl56">
    <w:name w:val="xl56"/>
    <w:basedOn w:val="Normal"/>
    <w:rsid w:val="0094707F"/>
    <w:pPr>
      <w:pBdr>
        <w:bottom w:val="single" w:sz="4" w:space="0" w:color="auto"/>
        <w:right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57">
    <w:name w:val="xl57"/>
    <w:basedOn w:val="Normal"/>
    <w:rsid w:val="0094707F"/>
    <w:pPr>
      <w:pBdr>
        <w:left w:val="single" w:sz="4" w:space="0" w:color="auto"/>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58">
    <w:name w:val="xl58"/>
    <w:basedOn w:val="Normal"/>
    <w:rsid w:val="0094707F"/>
    <w:pPr>
      <w:pBdr>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59">
    <w:name w:val="xl59"/>
    <w:basedOn w:val="Normal"/>
    <w:rsid w:val="0094707F"/>
    <w:pPr>
      <w:pBdr>
        <w:bottom w:val="single" w:sz="4" w:space="0" w:color="auto"/>
      </w:pBdr>
      <w:shd w:val="clear" w:color="auto" w:fill="FFFFFF"/>
      <w:spacing w:before="100" w:beforeAutospacing="1" w:after="100" w:afterAutospacing="1"/>
      <w:jc w:val="center"/>
      <w:textAlignment w:val="center"/>
    </w:pPr>
    <w:rPr>
      <w:rFonts w:cs="Arial"/>
      <w:color w:val="000000"/>
      <w:sz w:val="16"/>
      <w:szCs w:val="16"/>
    </w:rPr>
  </w:style>
  <w:style w:type="paragraph" w:customStyle="1" w:styleId="xl60">
    <w:name w:val="xl60"/>
    <w:basedOn w:val="Normal"/>
    <w:rsid w:val="0094707F"/>
    <w:pPr>
      <w:pBdr>
        <w:top w:val="single" w:sz="4" w:space="0" w:color="auto"/>
      </w:pBdr>
      <w:shd w:val="clear" w:color="auto" w:fill="FFFFFF"/>
      <w:spacing w:before="100" w:beforeAutospacing="1" w:after="100" w:afterAutospacing="1"/>
      <w:textAlignment w:val="center"/>
    </w:pPr>
    <w:rPr>
      <w:rFonts w:cs="Arial"/>
      <w:b/>
      <w:bCs/>
      <w:color w:val="000000"/>
      <w:sz w:val="16"/>
      <w:szCs w:val="16"/>
    </w:rPr>
  </w:style>
  <w:style w:type="paragraph" w:styleId="Slutnotetekst">
    <w:name w:val="endnote text"/>
    <w:basedOn w:val="Normal"/>
    <w:link w:val="SlutnotetekstTegn"/>
    <w:semiHidden/>
    <w:rsid w:val="0094707F"/>
    <w:pPr>
      <w:jc w:val="both"/>
    </w:pPr>
    <w:rPr>
      <w:rFonts w:ascii="Times New Roman" w:hAnsi="Times New Roman"/>
      <w:sz w:val="20"/>
      <w:szCs w:val="20"/>
      <w:lang w:eastAsia="en-US"/>
    </w:rPr>
  </w:style>
  <w:style w:type="character" w:customStyle="1" w:styleId="SlutnotetekstTegn">
    <w:name w:val="Slutnotetekst Tegn"/>
    <w:basedOn w:val="Standardskrifttypeiafsnit"/>
    <w:link w:val="Slutnotetekst"/>
    <w:semiHidden/>
    <w:rsid w:val="0094707F"/>
    <w:rPr>
      <w:lang w:eastAsia="en-US"/>
    </w:rPr>
  </w:style>
  <w:style w:type="character" w:styleId="Slutnotehenvisning">
    <w:name w:val="endnote reference"/>
    <w:basedOn w:val="Standardskrifttypeiafsnit"/>
    <w:semiHidden/>
    <w:rsid w:val="0094707F"/>
    <w:rPr>
      <w:vertAlign w:val="superscript"/>
    </w:rPr>
  </w:style>
  <w:style w:type="paragraph" w:styleId="Listeafsnit">
    <w:name w:val="List Paragraph"/>
    <w:basedOn w:val="Normal"/>
    <w:uiPriority w:val="34"/>
    <w:qFormat/>
    <w:rsid w:val="0094707F"/>
    <w:pPr>
      <w:ind w:left="1304"/>
      <w:jc w:val="both"/>
    </w:pPr>
    <w:rPr>
      <w:rFonts w:ascii="Times New Roman" w:hAnsi="Times New Roman"/>
      <w:sz w:val="24"/>
      <w:lang w:eastAsia="en-US"/>
    </w:rPr>
  </w:style>
  <w:style w:type="paragraph" w:customStyle="1" w:styleId="xl65">
    <w:name w:val="xl65"/>
    <w:basedOn w:val="Normal"/>
    <w:rsid w:val="0094707F"/>
    <w:pPr>
      <w:spacing w:before="100" w:beforeAutospacing="1" w:after="100" w:afterAutospacing="1"/>
    </w:pPr>
    <w:rPr>
      <w:rFonts w:cs="Arial"/>
      <w:sz w:val="18"/>
      <w:szCs w:val="18"/>
    </w:rPr>
  </w:style>
  <w:style w:type="paragraph" w:customStyle="1" w:styleId="xl66">
    <w:name w:val="xl66"/>
    <w:basedOn w:val="Normal"/>
    <w:rsid w:val="0094707F"/>
    <w:pPr>
      <w:shd w:val="clear" w:color="000000" w:fill="FFFFFF"/>
      <w:spacing w:before="100" w:beforeAutospacing="1" w:after="100" w:afterAutospacing="1"/>
    </w:pPr>
    <w:rPr>
      <w:rFonts w:ascii="Times New Roman" w:hAnsi="Times New Roman"/>
      <w:sz w:val="24"/>
    </w:rPr>
  </w:style>
  <w:style w:type="paragraph" w:customStyle="1" w:styleId="xl67">
    <w:name w:val="xl67"/>
    <w:basedOn w:val="Normal"/>
    <w:rsid w:val="0094707F"/>
    <w:pPr>
      <w:shd w:val="clear" w:color="000000" w:fill="FFFFFF"/>
      <w:spacing w:before="100" w:beforeAutospacing="1" w:after="100" w:afterAutospacing="1"/>
    </w:pPr>
    <w:rPr>
      <w:rFonts w:cs="Arial"/>
      <w:sz w:val="18"/>
      <w:szCs w:val="18"/>
    </w:rPr>
  </w:style>
  <w:style w:type="paragraph" w:customStyle="1" w:styleId="xl68">
    <w:name w:val="xl68"/>
    <w:basedOn w:val="Normal"/>
    <w:rsid w:val="0094707F"/>
    <w:pPr>
      <w:shd w:val="clear" w:color="000000" w:fill="FFFFFF"/>
      <w:spacing w:before="100" w:beforeAutospacing="1" w:after="100" w:afterAutospacing="1"/>
    </w:pPr>
    <w:rPr>
      <w:rFonts w:cs="Arial"/>
      <w:sz w:val="16"/>
      <w:szCs w:val="16"/>
    </w:rPr>
  </w:style>
  <w:style w:type="paragraph" w:customStyle="1" w:styleId="xl69">
    <w:name w:val="xl69"/>
    <w:basedOn w:val="Normal"/>
    <w:rsid w:val="0094707F"/>
    <w:pPr>
      <w:shd w:val="clear" w:color="000000" w:fill="FFFFFF"/>
      <w:spacing w:before="100" w:beforeAutospacing="1" w:after="100" w:afterAutospacing="1"/>
    </w:pPr>
    <w:rPr>
      <w:rFonts w:cs="Arial"/>
      <w:sz w:val="16"/>
      <w:szCs w:val="16"/>
    </w:rPr>
  </w:style>
  <w:style w:type="paragraph" w:customStyle="1" w:styleId="xl70">
    <w:name w:val="xl70"/>
    <w:basedOn w:val="Normal"/>
    <w:rsid w:val="0094707F"/>
    <w:pPr>
      <w:pBdr>
        <w:bottom w:val="single" w:sz="4" w:space="0" w:color="auto"/>
      </w:pBdr>
      <w:shd w:val="clear" w:color="000000" w:fill="FFFFFF"/>
      <w:spacing w:before="100" w:beforeAutospacing="1" w:after="100" w:afterAutospacing="1"/>
    </w:pPr>
    <w:rPr>
      <w:rFonts w:cs="Arial"/>
      <w:sz w:val="16"/>
      <w:szCs w:val="16"/>
    </w:rPr>
  </w:style>
  <w:style w:type="paragraph" w:customStyle="1" w:styleId="xl71">
    <w:name w:val="xl71"/>
    <w:basedOn w:val="Normal"/>
    <w:rsid w:val="0094707F"/>
    <w:pPr>
      <w:shd w:val="clear" w:color="000000" w:fill="FFFFFF"/>
      <w:spacing w:before="100" w:beforeAutospacing="1" w:after="100" w:afterAutospacing="1"/>
    </w:pPr>
    <w:rPr>
      <w:rFonts w:cs="Arial"/>
      <w:sz w:val="16"/>
      <w:szCs w:val="16"/>
    </w:rPr>
  </w:style>
  <w:style w:type="paragraph" w:customStyle="1" w:styleId="xl72">
    <w:name w:val="xl72"/>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73">
    <w:name w:val="xl73"/>
    <w:basedOn w:val="Normal"/>
    <w:rsid w:val="0094707F"/>
    <w:pPr>
      <w:shd w:val="clear" w:color="000000" w:fill="FFFFFF"/>
      <w:spacing w:before="100" w:beforeAutospacing="1" w:after="100" w:afterAutospacing="1"/>
      <w:jc w:val="center"/>
    </w:pPr>
    <w:rPr>
      <w:rFonts w:cs="Arial"/>
      <w:b/>
      <w:bCs/>
      <w:sz w:val="16"/>
      <w:szCs w:val="16"/>
    </w:rPr>
  </w:style>
  <w:style w:type="paragraph" w:customStyle="1" w:styleId="xl74">
    <w:name w:val="xl74"/>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75">
    <w:name w:val="xl75"/>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76">
    <w:name w:val="xl76"/>
    <w:basedOn w:val="Normal"/>
    <w:rsid w:val="0094707F"/>
    <w:pPr>
      <w:pBdr>
        <w:lef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77">
    <w:name w:val="xl77"/>
    <w:basedOn w:val="Normal"/>
    <w:rsid w:val="0094707F"/>
    <w:pPr>
      <w:pBdr>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78">
    <w:name w:val="xl78"/>
    <w:basedOn w:val="Normal"/>
    <w:rsid w:val="0094707F"/>
    <w:pPr>
      <w:pBdr>
        <w:left w:val="single" w:sz="4" w:space="0" w:color="auto"/>
        <w:right w:val="single" w:sz="4" w:space="0" w:color="auto"/>
      </w:pBdr>
      <w:shd w:val="clear" w:color="000000" w:fill="C0C0C0"/>
      <w:spacing w:before="100" w:beforeAutospacing="1" w:after="100" w:afterAutospacing="1"/>
    </w:pPr>
    <w:rPr>
      <w:rFonts w:cs="Arial"/>
      <w:b/>
      <w:bCs/>
      <w:sz w:val="16"/>
      <w:szCs w:val="16"/>
    </w:rPr>
  </w:style>
  <w:style w:type="paragraph" w:customStyle="1" w:styleId="xl79">
    <w:name w:val="xl79"/>
    <w:basedOn w:val="Normal"/>
    <w:rsid w:val="0094707F"/>
    <w:pPr>
      <w:shd w:val="clear" w:color="000000" w:fill="C0C0C0"/>
      <w:spacing w:before="100" w:beforeAutospacing="1" w:after="100" w:afterAutospacing="1"/>
    </w:pPr>
    <w:rPr>
      <w:rFonts w:cs="Arial"/>
      <w:sz w:val="16"/>
      <w:szCs w:val="16"/>
    </w:rPr>
  </w:style>
  <w:style w:type="paragraph" w:customStyle="1" w:styleId="xl80">
    <w:name w:val="xl80"/>
    <w:basedOn w:val="Normal"/>
    <w:rsid w:val="0094707F"/>
    <w:pPr>
      <w:shd w:val="clear" w:color="000000" w:fill="C0C0C0"/>
      <w:spacing w:before="100" w:beforeAutospacing="1" w:after="100" w:afterAutospacing="1"/>
      <w:jc w:val="center"/>
    </w:pPr>
    <w:rPr>
      <w:rFonts w:cs="Arial"/>
      <w:sz w:val="16"/>
      <w:szCs w:val="16"/>
    </w:rPr>
  </w:style>
  <w:style w:type="paragraph" w:customStyle="1" w:styleId="xl81">
    <w:name w:val="xl81"/>
    <w:basedOn w:val="Normal"/>
    <w:rsid w:val="0094707F"/>
    <w:pPr>
      <w:pBdr>
        <w:left w:val="single" w:sz="4" w:space="0" w:color="auto"/>
      </w:pBdr>
      <w:shd w:val="clear" w:color="000000" w:fill="C0C0C0"/>
      <w:spacing w:before="100" w:beforeAutospacing="1" w:after="100" w:afterAutospacing="1"/>
      <w:jc w:val="center"/>
    </w:pPr>
    <w:rPr>
      <w:rFonts w:cs="Arial"/>
      <w:sz w:val="16"/>
      <w:szCs w:val="16"/>
    </w:rPr>
  </w:style>
  <w:style w:type="paragraph" w:customStyle="1" w:styleId="xl82">
    <w:name w:val="xl82"/>
    <w:basedOn w:val="Normal"/>
    <w:rsid w:val="0094707F"/>
    <w:pPr>
      <w:pBdr>
        <w:right w:val="single" w:sz="4" w:space="0" w:color="auto"/>
      </w:pBdr>
      <w:shd w:val="clear" w:color="000000" w:fill="C0C0C0"/>
      <w:spacing w:before="100" w:beforeAutospacing="1" w:after="100" w:afterAutospacing="1"/>
      <w:jc w:val="center"/>
    </w:pPr>
    <w:rPr>
      <w:rFonts w:cs="Arial"/>
      <w:sz w:val="16"/>
      <w:szCs w:val="16"/>
    </w:rPr>
  </w:style>
  <w:style w:type="paragraph" w:customStyle="1" w:styleId="xl83">
    <w:name w:val="xl83"/>
    <w:basedOn w:val="Normal"/>
    <w:rsid w:val="0094707F"/>
    <w:pPr>
      <w:pBdr>
        <w:right w:val="single" w:sz="4" w:space="0" w:color="auto"/>
      </w:pBdr>
      <w:shd w:val="clear" w:color="000000" w:fill="C0C0C0"/>
      <w:spacing w:before="100" w:beforeAutospacing="1" w:after="100" w:afterAutospacing="1"/>
      <w:jc w:val="center"/>
    </w:pPr>
    <w:rPr>
      <w:rFonts w:cs="Arial"/>
      <w:sz w:val="16"/>
      <w:szCs w:val="16"/>
    </w:rPr>
  </w:style>
  <w:style w:type="paragraph" w:customStyle="1" w:styleId="xl84">
    <w:name w:val="xl84"/>
    <w:basedOn w:val="Normal"/>
    <w:rsid w:val="0094707F"/>
    <w:pPr>
      <w:pBdr>
        <w:left w:val="single" w:sz="4" w:space="0" w:color="auto"/>
        <w:bottom w:val="single" w:sz="4" w:space="0" w:color="auto"/>
        <w:right w:val="single" w:sz="4" w:space="0" w:color="auto"/>
      </w:pBdr>
      <w:shd w:val="clear" w:color="000000" w:fill="C0C0C0"/>
      <w:spacing w:before="100" w:beforeAutospacing="1" w:after="100" w:afterAutospacing="1"/>
    </w:pPr>
    <w:rPr>
      <w:rFonts w:cs="Arial"/>
      <w:b/>
      <w:bCs/>
      <w:sz w:val="16"/>
      <w:szCs w:val="16"/>
    </w:rPr>
  </w:style>
  <w:style w:type="paragraph" w:customStyle="1" w:styleId="xl85">
    <w:name w:val="xl85"/>
    <w:basedOn w:val="Normal"/>
    <w:rsid w:val="0094707F"/>
    <w:pPr>
      <w:pBdr>
        <w:bottom w:val="single" w:sz="4" w:space="0" w:color="auto"/>
      </w:pBdr>
      <w:shd w:val="clear" w:color="000000" w:fill="C0C0C0"/>
      <w:spacing w:before="100" w:beforeAutospacing="1" w:after="100" w:afterAutospacing="1"/>
    </w:pPr>
    <w:rPr>
      <w:rFonts w:ascii="Times New Roman" w:hAnsi="Times New Roman"/>
      <w:sz w:val="24"/>
    </w:rPr>
  </w:style>
  <w:style w:type="paragraph" w:customStyle="1" w:styleId="xl86">
    <w:name w:val="xl86"/>
    <w:basedOn w:val="Normal"/>
    <w:rsid w:val="0094707F"/>
    <w:pPr>
      <w:pBdr>
        <w:left w:val="single" w:sz="4" w:space="0" w:color="auto"/>
        <w:bottom w:val="single" w:sz="4" w:space="0" w:color="auto"/>
      </w:pBdr>
      <w:shd w:val="clear" w:color="000000" w:fill="C0C0C0"/>
      <w:spacing w:before="100" w:beforeAutospacing="1" w:after="100" w:afterAutospacing="1"/>
    </w:pPr>
    <w:rPr>
      <w:rFonts w:ascii="Times New Roman" w:hAnsi="Times New Roman"/>
      <w:sz w:val="24"/>
    </w:rPr>
  </w:style>
  <w:style w:type="paragraph" w:customStyle="1" w:styleId="xl87">
    <w:name w:val="xl87"/>
    <w:basedOn w:val="Normal"/>
    <w:rsid w:val="0094707F"/>
    <w:pPr>
      <w:pBdr>
        <w:bottom w:val="single" w:sz="4" w:space="0" w:color="auto"/>
        <w:right w:val="single" w:sz="4" w:space="0" w:color="auto"/>
      </w:pBdr>
      <w:shd w:val="clear" w:color="000000" w:fill="C0C0C0"/>
      <w:spacing w:before="100" w:beforeAutospacing="1" w:after="100" w:afterAutospacing="1"/>
    </w:pPr>
    <w:rPr>
      <w:rFonts w:ascii="Times New Roman" w:hAnsi="Times New Roman"/>
      <w:sz w:val="24"/>
    </w:rPr>
  </w:style>
  <w:style w:type="paragraph" w:customStyle="1" w:styleId="xl88">
    <w:name w:val="xl88"/>
    <w:basedOn w:val="Normal"/>
    <w:rsid w:val="0094707F"/>
    <w:pPr>
      <w:pBdr>
        <w:bottom w:val="single" w:sz="4" w:space="0" w:color="auto"/>
      </w:pBdr>
      <w:shd w:val="clear" w:color="000000" w:fill="C0C0C0"/>
      <w:spacing w:before="100" w:beforeAutospacing="1" w:after="100" w:afterAutospacing="1"/>
      <w:jc w:val="center"/>
    </w:pPr>
    <w:rPr>
      <w:rFonts w:ascii="Times New Roman" w:hAnsi="Times New Roman"/>
      <w:sz w:val="16"/>
      <w:szCs w:val="16"/>
    </w:rPr>
  </w:style>
  <w:style w:type="paragraph" w:customStyle="1" w:styleId="xl89">
    <w:name w:val="xl89"/>
    <w:basedOn w:val="Normal"/>
    <w:rsid w:val="0094707F"/>
    <w:pPr>
      <w:pBdr>
        <w:left w:val="single" w:sz="4" w:space="0" w:color="auto"/>
        <w:bottom w:val="single" w:sz="4" w:space="0" w:color="auto"/>
      </w:pBdr>
      <w:shd w:val="clear" w:color="000000" w:fill="C0C0C0"/>
      <w:spacing w:before="100" w:beforeAutospacing="1" w:after="100" w:afterAutospacing="1"/>
      <w:jc w:val="center"/>
    </w:pPr>
    <w:rPr>
      <w:rFonts w:cs="Arial"/>
      <w:sz w:val="16"/>
      <w:szCs w:val="16"/>
    </w:rPr>
  </w:style>
  <w:style w:type="paragraph" w:customStyle="1" w:styleId="xl90">
    <w:name w:val="xl90"/>
    <w:basedOn w:val="Normal"/>
    <w:rsid w:val="0094707F"/>
    <w:pPr>
      <w:pBdr>
        <w:bottom w:val="single" w:sz="4" w:space="0" w:color="auto"/>
      </w:pBdr>
      <w:shd w:val="clear" w:color="000000" w:fill="C0C0C0"/>
      <w:spacing w:before="100" w:beforeAutospacing="1" w:after="100" w:afterAutospacing="1"/>
      <w:jc w:val="center"/>
    </w:pPr>
    <w:rPr>
      <w:rFonts w:cs="Arial"/>
      <w:sz w:val="16"/>
      <w:szCs w:val="16"/>
    </w:rPr>
  </w:style>
  <w:style w:type="paragraph" w:customStyle="1" w:styleId="xl91">
    <w:name w:val="xl91"/>
    <w:basedOn w:val="Normal"/>
    <w:rsid w:val="0094707F"/>
    <w:pPr>
      <w:pBdr>
        <w:bottom w:val="single" w:sz="4" w:space="0" w:color="auto"/>
      </w:pBdr>
      <w:shd w:val="clear" w:color="000000" w:fill="C0C0C0"/>
      <w:spacing w:before="100" w:beforeAutospacing="1" w:after="100" w:afterAutospacing="1"/>
    </w:pPr>
    <w:rPr>
      <w:rFonts w:cs="Arial"/>
      <w:sz w:val="18"/>
      <w:szCs w:val="18"/>
    </w:rPr>
  </w:style>
  <w:style w:type="paragraph" w:customStyle="1" w:styleId="xl92">
    <w:name w:val="xl92"/>
    <w:basedOn w:val="Normal"/>
    <w:rsid w:val="0094707F"/>
    <w:pPr>
      <w:pBdr>
        <w:left w:val="single" w:sz="4" w:space="0" w:color="auto"/>
        <w:bottom w:val="single" w:sz="4" w:space="0" w:color="auto"/>
      </w:pBdr>
      <w:shd w:val="clear" w:color="000000" w:fill="C0C0C0"/>
      <w:spacing w:before="100" w:beforeAutospacing="1" w:after="100" w:afterAutospacing="1"/>
    </w:pPr>
    <w:rPr>
      <w:rFonts w:cs="Arial"/>
      <w:sz w:val="18"/>
      <w:szCs w:val="18"/>
    </w:rPr>
  </w:style>
  <w:style w:type="paragraph" w:customStyle="1" w:styleId="xl93">
    <w:name w:val="xl93"/>
    <w:basedOn w:val="Normal"/>
    <w:rsid w:val="0094707F"/>
    <w:pPr>
      <w:pBdr>
        <w:bottom w:val="single" w:sz="4" w:space="0" w:color="auto"/>
        <w:right w:val="single" w:sz="4" w:space="0" w:color="auto"/>
      </w:pBdr>
      <w:shd w:val="clear" w:color="000000" w:fill="C0C0C0"/>
      <w:spacing w:before="100" w:beforeAutospacing="1" w:after="100" w:afterAutospacing="1"/>
    </w:pPr>
    <w:rPr>
      <w:rFonts w:cs="Arial"/>
      <w:sz w:val="18"/>
      <w:szCs w:val="18"/>
    </w:rPr>
  </w:style>
  <w:style w:type="paragraph" w:customStyle="1" w:styleId="xl94">
    <w:name w:val="xl94"/>
    <w:basedOn w:val="Normal"/>
    <w:rsid w:val="0094707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95">
    <w:name w:val="xl95"/>
    <w:basedOn w:val="Normal"/>
    <w:rsid w:val="0094707F"/>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96">
    <w:name w:val="xl96"/>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97">
    <w:name w:val="xl97"/>
    <w:basedOn w:val="Normal"/>
    <w:rsid w:val="0094707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98">
    <w:name w:val="xl98"/>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99">
    <w:name w:val="xl99"/>
    <w:basedOn w:val="Normal"/>
    <w:rsid w:val="0094707F"/>
    <w:pPr>
      <w:shd w:val="clear" w:color="000000" w:fill="FFFFFF"/>
      <w:spacing w:before="100" w:beforeAutospacing="1" w:after="100" w:afterAutospacing="1"/>
    </w:pPr>
    <w:rPr>
      <w:rFonts w:cs="Arial"/>
      <w:sz w:val="16"/>
      <w:szCs w:val="16"/>
    </w:rPr>
  </w:style>
  <w:style w:type="paragraph" w:customStyle="1" w:styleId="xl100">
    <w:name w:val="xl100"/>
    <w:basedOn w:val="Normal"/>
    <w:rsid w:val="0094707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1">
    <w:name w:val="xl101"/>
    <w:basedOn w:val="Normal"/>
    <w:rsid w:val="0094707F"/>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2">
    <w:name w:val="xl102"/>
    <w:basedOn w:val="Normal"/>
    <w:rsid w:val="0094707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103">
    <w:name w:val="xl103"/>
    <w:basedOn w:val="Normal"/>
    <w:rsid w:val="0094707F"/>
    <w:pPr>
      <w:pBdr>
        <w:bottom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4">
    <w:name w:val="xl104"/>
    <w:basedOn w:val="Normal"/>
    <w:rsid w:val="0094707F"/>
    <w:pPr>
      <w:shd w:val="clear" w:color="000000" w:fill="FFFFFF"/>
      <w:spacing w:before="100" w:beforeAutospacing="1" w:after="100" w:afterAutospacing="1"/>
      <w:jc w:val="center"/>
    </w:pPr>
    <w:rPr>
      <w:rFonts w:cs="Arial"/>
      <w:b/>
      <w:bCs/>
      <w:sz w:val="16"/>
      <w:szCs w:val="16"/>
    </w:rPr>
  </w:style>
  <w:style w:type="paragraph" w:customStyle="1" w:styleId="xl105">
    <w:name w:val="xl105"/>
    <w:basedOn w:val="Normal"/>
    <w:rsid w:val="0094707F"/>
    <w:pPr>
      <w:pBdr>
        <w:lef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6">
    <w:name w:val="xl106"/>
    <w:basedOn w:val="Normal"/>
    <w:rsid w:val="0094707F"/>
    <w:pPr>
      <w:pBdr>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7">
    <w:name w:val="xl107"/>
    <w:basedOn w:val="Normal"/>
    <w:rsid w:val="0094707F"/>
    <w:pPr>
      <w:pBdr>
        <w:top w:val="single" w:sz="4" w:space="0" w:color="auto"/>
        <w:lef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8">
    <w:name w:val="xl108"/>
    <w:basedOn w:val="Normal"/>
    <w:rsid w:val="0094707F"/>
    <w:pPr>
      <w:pBdr>
        <w:top w:val="single" w:sz="4" w:space="0" w:color="auto"/>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9">
    <w:name w:val="xl109"/>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10">
    <w:name w:val="xl110"/>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111">
    <w:name w:val="xl111"/>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112">
    <w:name w:val="xl112"/>
    <w:basedOn w:val="Normal"/>
    <w:rsid w:val="0094707F"/>
    <w:pPr>
      <w:pBdr>
        <w:top w:val="single" w:sz="4" w:space="0" w:color="auto"/>
        <w:left w:val="single" w:sz="4" w:space="0" w:color="auto"/>
      </w:pBdr>
      <w:shd w:val="clear" w:color="000000" w:fill="FFFFFF"/>
      <w:spacing w:before="100" w:beforeAutospacing="1" w:after="100" w:afterAutospacing="1"/>
      <w:jc w:val="center"/>
    </w:pPr>
    <w:rPr>
      <w:rFonts w:cs="Arial"/>
      <w:sz w:val="16"/>
      <w:szCs w:val="16"/>
    </w:rPr>
  </w:style>
  <w:style w:type="paragraph" w:customStyle="1" w:styleId="xl113">
    <w:name w:val="xl113"/>
    <w:basedOn w:val="Normal"/>
    <w:rsid w:val="0094707F"/>
    <w:pPr>
      <w:pBdr>
        <w:top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14">
    <w:name w:val="xl114"/>
    <w:basedOn w:val="Normal"/>
    <w:rsid w:val="0094707F"/>
    <w:pPr>
      <w:pBdr>
        <w:top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15">
    <w:name w:val="xl115"/>
    <w:basedOn w:val="Normal"/>
    <w:rsid w:val="0094707F"/>
    <w:pPr>
      <w:pBdr>
        <w:left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16">
    <w:name w:val="xl116"/>
    <w:basedOn w:val="Normal"/>
    <w:rsid w:val="0094707F"/>
    <w:pPr>
      <w:shd w:val="clear" w:color="000000" w:fill="FFFFFF"/>
      <w:spacing w:before="100" w:beforeAutospacing="1" w:after="100" w:afterAutospacing="1"/>
    </w:pPr>
    <w:rPr>
      <w:rFonts w:cs="Arial"/>
      <w:sz w:val="16"/>
      <w:szCs w:val="16"/>
    </w:rPr>
  </w:style>
  <w:style w:type="paragraph" w:customStyle="1" w:styleId="xl117">
    <w:name w:val="xl117"/>
    <w:basedOn w:val="Normal"/>
    <w:rsid w:val="0094707F"/>
    <w:pPr>
      <w:shd w:val="clear" w:color="000000" w:fill="FFFFFF"/>
      <w:spacing w:before="100" w:beforeAutospacing="1" w:after="100" w:afterAutospacing="1"/>
    </w:pPr>
    <w:rPr>
      <w:rFonts w:cs="Arial"/>
      <w:sz w:val="16"/>
      <w:szCs w:val="16"/>
    </w:rPr>
  </w:style>
  <w:style w:type="paragraph" w:customStyle="1" w:styleId="xl118">
    <w:name w:val="xl118"/>
    <w:basedOn w:val="Normal"/>
    <w:rsid w:val="0094707F"/>
    <w:pPr>
      <w:pBdr>
        <w:left w:val="single" w:sz="4" w:space="0" w:color="auto"/>
      </w:pBdr>
      <w:shd w:val="clear" w:color="000000" w:fill="FFFFFF"/>
      <w:spacing w:before="100" w:beforeAutospacing="1" w:after="100" w:afterAutospacing="1"/>
      <w:jc w:val="center"/>
    </w:pPr>
    <w:rPr>
      <w:rFonts w:cs="Arial"/>
      <w:sz w:val="16"/>
      <w:szCs w:val="16"/>
    </w:rPr>
  </w:style>
  <w:style w:type="paragraph" w:customStyle="1" w:styleId="xl119">
    <w:name w:val="xl119"/>
    <w:basedOn w:val="Normal"/>
    <w:rsid w:val="0094707F"/>
    <w:pPr>
      <w:pBdr>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0">
    <w:name w:val="xl120"/>
    <w:basedOn w:val="Normal"/>
    <w:rsid w:val="0094707F"/>
    <w:pPr>
      <w:pBdr>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1">
    <w:name w:val="xl121"/>
    <w:basedOn w:val="Normal"/>
    <w:rsid w:val="0094707F"/>
    <w:pPr>
      <w:pBdr>
        <w:left w:val="single" w:sz="4" w:space="0" w:color="auto"/>
      </w:pBdr>
      <w:shd w:val="clear" w:color="000000" w:fill="FFFFFF"/>
      <w:spacing w:before="100" w:beforeAutospacing="1" w:after="100" w:afterAutospacing="1"/>
      <w:jc w:val="center"/>
    </w:pPr>
    <w:rPr>
      <w:rFonts w:cs="Arial"/>
      <w:sz w:val="16"/>
      <w:szCs w:val="16"/>
    </w:rPr>
  </w:style>
  <w:style w:type="paragraph" w:customStyle="1" w:styleId="xl122">
    <w:name w:val="xl122"/>
    <w:basedOn w:val="Normal"/>
    <w:rsid w:val="0094707F"/>
    <w:pPr>
      <w:pBdr>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3">
    <w:name w:val="xl123"/>
    <w:basedOn w:val="Normal"/>
    <w:rsid w:val="0094707F"/>
    <w:pPr>
      <w:shd w:val="clear" w:color="000000" w:fill="FFFFFF"/>
      <w:spacing w:before="100" w:beforeAutospacing="1" w:after="100" w:afterAutospacing="1"/>
      <w:jc w:val="center"/>
    </w:pPr>
    <w:rPr>
      <w:rFonts w:cs="Arial"/>
      <w:sz w:val="16"/>
      <w:szCs w:val="16"/>
    </w:rPr>
  </w:style>
  <w:style w:type="paragraph" w:customStyle="1" w:styleId="xl124">
    <w:name w:val="xl124"/>
    <w:basedOn w:val="Normal"/>
    <w:rsid w:val="0094707F"/>
    <w:pPr>
      <w:pBdr>
        <w:left w:val="single" w:sz="4" w:space="0" w:color="auto"/>
        <w:bottom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25">
    <w:name w:val="xl125"/>
    <w:basedOn w:val="Normal"/>
    <w:rsid w:val="0094707F"/>
    <w:pPr>
      <w:pBdr>
        <w:bottom w:val="single" w:sz="4" w:space="0" w:color="auto"/>
      </w:pBdr>
      <w:shd w:val="clear" w:color="000000" w:fill="FFFFFF"/>
      <w:spacing w:before="100" w:beforeAutospacing="1" w:after="100" w:afterAutospacing="1"/>
    </w:pPr>
    <w:rPr>
      <w:rFonts w:cs="Arial"/>
      <w:sz w:val="16"/>
      <w:szCs w:val="16"/>
    </w:rPr>
  </w:style>
  <w:style w:type="paragraph" w:customStyle="1" w:styleId="xl126">
    <w:name w:val="xl126"/>
    <w:basedOn w:val="Normal"/>
    <w:rsid w:val="0094707F"/>
    <w:pPr>
      <w:pBdr>
        <w:left w:val="single" w:sz="4" w:space="0" w:color="auto"/>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127">
    <w:name w:val="xl127"/>
    <w:basedOn w:val="Normal"/>
    <w:rsid w:val="0094707F"/>
    <w:pPr>
      <w:pBdr>
        <w:bottom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8">
    <w:name w:val="xl128"/>
    <w:basedOn w:val="Normal"/>
    <w:rsid w:val="0094707F"/>
    <w:pPr>
      <w:pBdr>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129">
    <w:name w:val="xl129"/>
    <w:basedOn w:val="Normal"/>
    <w:rsid w:val="0094707F"/>
    <w:pPr>
      <w:pBdr>
        <w:bottom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30">
    <w:name w:val="xl130"/>
    <w:basedOn w:val="Normal"/>
    <w:rsid w:val="0094707F"/>
    <w:pPr>
      <w:shd w:val="clear" w:color="000000" w:fill="FFFFFF"/>
      <w:spacing w:before="100" w:beforeAutospacing="1" w:after="100" w:afterAutospacing="1"/>
      <w:jc w:val="center"/>
    </w:pPr>
    <w:rPr>
      <w:rFonts w:cs="Arial"/>
      <w:sz w:val="16"/>
      <w:szCs w:val="16"/>
    </w:rPr>
  </w:style>
  <w:style w:type="paragraph" w:customStyle="1" w:styleId="xl131">
    <w:name w:val="xl131"/>
    <w:basedOn w:val="Normal"/>
    <w:rsid w:val="0094707F"/>
    <w:pPr>
      <w:pBdr>
        <w:top w:val="single" w:sz="4" w:space="0" w:color="auto"/>
      </w:pBdr>
      <w:shd w:val="clear" w:color="000000" w:fill="FFFFFF"/>
      <w:spacing w:before="100" w:beforeAutospacing="1" w:after="100" w:afterAutospacing="1"/>
      <w:jc w:val="center"/>
    </w:pPr>
    <w:rPr>
      <w:rFonts w:cs="Arial"/>
      <w:sz w:val="16"/>
      <w:szCs w:val="16"/>
    </w:rPr>
  </w:style>
  <w:style w:type="paragraph" w:customStyle="1" w:styleId="xl132">
    <w:name w:val="xl132"/>
    <w:basedOn w:val="Normal"/>
    <w:rsid w:val="0094707F"/>
    <w:pPr>
      <w:pBdr>
        <w:left w:val="single" w:sz="4" w:space="0" w:color="auto"/>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133">
    <w:name w:val="xl133"/>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134">
    <w:name w:val="xl134"/>
    <w:basedOn w:val="Normal"/>
    <w:rsid w:val="0094707F"/>
    <w:pPr>
      <w:shd w:val="clear" w:color="000000" w:fill="FFFFFF"/>
      <w:spacing w:before="100" w:beforeAutospacing="1" w:after="100" w:afterAutospacing="1"/>
    </w:pPr>
    <w:rPr>
      <w:rFonts w:ascii="Times New Roman" w:hAnsi="Times New Roman"/>
      <w:sz w:val="24"/>
    </w:rPr>
  </w:style>
  <w:style w:type="paragraph" w:customStyle="1" w:styleId="xl135">
    <w:name w:val="xl135"/>
    <w:basedOn w:val="Normal"/>
    <w:rsid w:val="0094707F"/>
    <w:pPr>
      <w:pBdr>
        <w:top w:val="single" w:sz="4" w:space="0" w:color="auto"/>
        <w:left w:val="single" w:sz="4" w:space="0" w:color="auto"/>
      </w:pBdr>
      <w:shd w:val="clear" w:color="000000" w:fill="FFFFFF"/>
      <w:spacing w:before="100" w:beforeAutospacing="1" w:after="100" w:afterAutospacing="1"/>
    </w:pPr>
    <w:rPr>
      <w:rFonts w:cs="Arial"/>
      <w:b/>
      <w:bCs/>
      <w:sz w:val="16"/>
      <w:szCs w:val="16"/>
    </w:rPr>
  </w:style>
  <w:style w:type="paragraph" w:customStyle="1" w:styleId="xl136">
    <w:name w:val="xl136"/>
    <w:basedOn w:val="Normal"/>
    <w:rsid w:val="0094707F"/>
    <w:pPr>
      <w:pBdr>
        <w:left w:val="single" w:sz="4" w:space="0" w:color="auto"/>
      </w:pBdr>
      <w:shd w:val="clear" w:color="000000" w:fill="FFFFFF"/>
      <w:spacing w:before="100" w:beforeAutospacing="1" w:after="100" w:afterAutospacing="1"/>
    </w:pPr>
    <w:rPr>
      <w:rFonts w:cs="Arial"/>
      <w:b/>
      <w:bCs/>
      <w:sz w:val="16"/>
      <w:szCs w:val="16"/>
    </w:rPr>
  </w:style>
  <w:style w:type="paragraph" w:customStyle="1" w:styleId="xl137">
    <w:name w:val="xl137"/>
    <w:basedOn w:val="Normal"/>
    <w:rsid w:val="0094707F"/>
    <w:pPr>
      <w:pBdr>
        <w:left w:val="single" w:sz="4" w:space="0" w:color="auto"/>
        <w:bottom w:val="single" w:sz="4" w:space="0" w:color="auto"/>
      </w:pBdr>
      <w:shd w:val="clear" w:color="000000" w:fill="FFFFFF"/>
      <w:spacing w:before="100" w:beforeAutospacing="1" w:after="100" w:afterAutospacing="1"/>
    </w:pPr>
    <w:rPr>
      <w:rFonts w:cs="Arial"/>
      <w:b/>
      <w:bCs/>
      <w:sz w:val="16"/>
      <w:szCs w:val="16"/>
    </w:rPr>
  </w:style>
  <w:style w:type="paragraph" w:customStyle="1" w:styleId="xl138">
    <w:name w:val="xl138"/>
    <w:basedOn w:val="Normal"/>
    <w:rsid w:val="0094707F"/>
    <w:pPr>
      <w:pBdr>
        <w:top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39">
    <w:name w:val="xl139"/>
    <w:basedOn w:val="Normal"/>
    <w:rsid w:val="0094707F"/>
    <w:pPr>
      <w:shd w:val="clear" w:color="000000" w:fill="FFFFFF"/>
      <w:spacing w:before="100" w:beforeAutospacing="1" w:after="100" w:afterAutospacing="1"/>
      <w:jc w:val="right"/>
    </w:pPr>
    <w:rPr>
      <w:rFonts w:cs="Arial"/>
      <w:b/>
      <w:bCs/>
      <w:sz w:val="16"/>
      <w:szCs w:val="16"/>
    </w:rPr>
  </w:style>
  <w:style w:type="paragraph" w:styleId="Indholdsfortegnelse5">
    <w:name w:val="toc 5"/>
    <w:basedOn w:val="Normal"/>
    <w:next w:val="Normal"/>
    <w:autoRedefine/>
    <w:uiPriority w:val="39"/>
    <w:unhideWhenUsed/>
    <w:rsid w:val="0094707F"/>
    <w:pPr>
      <w:spacing w:after="100" w:line="276" w:lineRule="auto"/>
      <w:ind w:left="880"/>
    </w:pPr>
    <w:rPr>
      <w:rFonts w:ascii="Calibri" w:hAnsi="Calibri"/>
      <w:szCs w:val="22"/>
    </w:rPr>
  </w:style>
  <w:style w:type="paragraph" w:styleId="Indholdsfortegnelse6">
    <w:name w:val="toc 6"/>
    <w:basedOn w:val="Normal"/>
    <w:next w:val="Normal"/>
    <w:autoRedefine/>
    <w:uiPriority w:val="39"/>
    <w:unhideWhenUsed/>
    <w:rsid w:val="0094707F"/>
    <w:pPr>
      <w:spacing w:after="100" w:line="276" w:lineRule="auto"/>
      <w:ind w:left="1100"/>
    </w:pPr>
    <w:rPr>
      <w:rFonts w:ascii="Calibri" w:hAnsi="Calibri"/>
      <w:szCs w:val="22"/>
    </w:rPr>
  </w:style>
  <w:style w:type="paragraph" w:styleId="Indholdsfortegnelse7">
    <w:name w:val="toc 7"/>
    <w:basedOn w:val="Normal"/>
    <w:next w:val="Normal"/>
    <w:autoRedefine/>
    <w:uiPriority w:val="39"/>
    <w:unhideWhenUsed/>
    <w:rsid w:val="0094707F"/>
    <w:pPr>
      <w:spacing w:after="100" w:line="276" w:lineRule="auto"/>
      <w:ind w:left="1320"/>
    </w:pPr>
    <w:rPr>
      <w:rFonts w:ascii="Calibri" w:hAnsi="Calibri"/>
      <w:szCs w:val="22"/>
    </w:rPr>
  </w:style>
  <w:style w:type="paragraph" w:styleId="Indholdsfortegnelse8">
    <w:name w:val="toc 8"/>
    <w:basedOn w:val="Normal"/>
    <w:next w:val="Normal"/>
    <w:autoRedefine/>
    <w:uiPriority w:val="39"/>
    <w:unhideWhenUsed/>
    <w:rsid w:val="0094707F"/>
    <w:pPr>
      <w:spacing w:after="100" w:line="276" w:lineRule="auto"/>
      <w:ind w:left="1540"/>
    </w:pPr>
    <w:rPr>
      <w:rFonts w:ascii="Calibri" w:hAnsi="Calibri"/>
      <w:szCs w:val="22"/>
    </w:rPr>
  </w:style>
  <w:style w:type="paragraph" w:styleId="Indholdsfortegnelse9">
    <w:name w:val="toc 9"/>
    <w:basedOn w:val="Normal"/>
    <w:next w:val="Normal"/>
    <w:autoRedefine/>
    <w:uiPriority w:val="39"/>
    <w:unhideWhenUsed/>
    <w:rsid w:val="0094707F"/>
    <w:pPr>
      <w:spacing w:after="100" w:line="276" w:lineRule="auto"/>
      <w:ind w:left="1760"/>
    </w:pPr>
    <w:rPr>
      <w:rFonts w:ascii="Calibri" w:hAnsi="Calibri"/>
      <w:szCs w:val="22"/>
    </w:rPr>
  </w:style>
  <w:style w:type="paragraph" w:customStyle="1" w:styleId="Normal2">
    <w:name w:val="Normal2"/>
    <w:basedOn w:val="Normal"/>
    <w:rsid w:val="0094707F"/>
    <w:pPr>
      <w:jc w:val="both"/>
    </w:pPr>
    <w:rPr>
      <w:rFonts w:ascii="Garamond" w:hAnsi="Garamond"/>
      <w:color w:val="000000"/>
      <w:sz w:val="24"/>
      <w:szCs w:val="17"/>
    </w:rPr>
  </w:style>
  <w:style w:type="numbering" w:customStyle="1" w:styleId="Ingenoversigt1">
    <w:name w:val="Ingen oversigt1"/>
    <w:next w:val="Ingenoversigt"/>
    <w:uiPriority w:val="99"/>
    <w:semiHidden/>
    <w:unhideWhenUsed/>
    <w:rsid w:val="0094707F"/>
  </w:style>
  <w:style w:type="numbering" w:customStyle="1" w:styleId="Ingenoversigt2">
    <w:name w:val="Ingen oversigt2"/>
    <w:next w:val="Ingenoversigt"/>
    <w:uiPriority w:val="99"/>
    <w:semiHidden/>
    <w:unhideWhenUsed/>
    <w:rsid w:val="0094707F"/>
  </w:style>
  <w:style w:type="paragraph" w:customStyle="1" w:styleId="xl151">
    <w:name w:val="xl151"/>
    <w:basedOn w:val="Normal"/>
    <w:rsid w:val="0094707F"/>
    <w:pPr>
      <w:shd w:val="clear" w:color="000000" w:fill="FFFFFF"/>
      <w:spacing w:before="100" w:beforeAutospacing="1" w:after="100" w:afterAutospacing="1"/>
    </w:pPr>
    <w:rPr>
      <w:rFonts w:ascii="Times New Roman" w:hAnsi="Times New Roman"/>
      <w:b/>
      <w:bCs/>
      <w:sz w:val="16"/>
      <w:szCs w:val="16"/>
    </w:rPr>
  </w:style>
  <w:style w:type="paragraph" w:customStyle="1" w:styleId="xl152">
    <w:name w:val="xl152"/>
    <w:basedOn w:val="Normal"/>
    <w:rsid w:val="0094707F"/>
    <w:pPr>
      <w:shd w:val="clear" w:color="000000" w:fill="FFFFFF"/>
      <w:spacing w:before="100" w:beforeAutospacing="1" w:after="100" w:afterAutospacing="1"/>
    </w:pPr>
    <w:rPr>
      <w:rFonts w:ascii="Times New Roman" w:hAnsi="Times New Roman"/>
      <w:sz w:val="16"/>
      <w:szCs w:val="16"/>
    </w:rPr>
  </w:style>
  <w:style w:type="paragraph" w:customStyle="1" w:styleId="xl153">
    <w:name w:val="xl153"/>
    <w:basedOn w:val="Normal"/>
    <w:rsid w:val="0094707F"/>
    <w:pPr>
      <w:shd w:val="clear" w:color="000000" w:fill="FFFFFF"/>
      <w:spacing w:before="100" w:beforeAutospacing="1" w:after="100" w:afterAutospacing="1"/>
      <w:jc w:val="center"/>
    </w:pPr>
    <w:rPr>
      <w:rFonts w:ascii="Times New Roman" w:hAnsi="Times New Roman"/>
      <w:sz w:val="16"/>
      <w:szCs w:val="16"/>
    </w:rPr>
  </w:style>
  <w:style w:type="paragraph" w:customStyle="1" w:styleId="xl154">
    <w:name w:val="xl154"/>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155">
    <w:name w:val="xl155"/>
    <w:basedOn w:val="Normal"/>
    <w:rsid w:val="0094707F"/>
    <w:pPr>
      <w:pBdr>
        <w:top w:val="single" w:sz="4" w:space="0" w:color="auto"/>
      </w:pBdr>
      <w:shd w:val="clear" w:color="000000" w:fill="FFFFFF"/>
      <w:spacing w:before="100" w:beforeAutospacing="1" w:after="100" w:afterAutospacing="1"/>
      <w:textAlignment w:val="center"/>
    </w:pPr>
    <w:rPr>
      <w:rFonts w:ascii="Times New Roman" w:hAnsi="Times New Roman"/>
      <w:b/>
      <w:bCs/>
      <w:color w:val="000000"/>
      <w:sz w:val="16"/>
      <w:szCs w:val="16"/>
    </w:rPr>
  </w:style>
  <w:style w:type="paragraph" w:customStyle="1" w:styleId="xl156">
    <w:name w:val="xl156"/>
    <w:basedOn w:val="Normal"/>
    <w:rsid w:val="0094707F"/>
    <w:pPr>
      <w:pBdr>
        <w:top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16"/>
      <w:szCs w:val="16"/>
    </w:rPr>
  </w:style>
  <w:style w:type="paragraph" w:customStyle="1" w:styleId="xl157">
    <w:name w:val="xl157"/>
    <w:basedOn w:val="Normal"/>
    <w:rsid w:val="0094707F"/>
    <w:pPr>
      <w:pBdr>
        <w:top w:val="single" w:sz="4" w:space="0" w:color="auto"/>
      </w:pBdr>
      <w:shd w:val="clear" w:color="000000" w:fill="FFFFFF"/>
      <w:spacing w:before="100" w:beforeAutospacing="1" w:after="100" w:afterAutospacing="1"/>
      <w:jc w:val="center"/>
    </w:pPr>
    <w:rPr>
      <w:rFonts w:ascii="Times New Roman" w:hAnsi="Times New Roman"/>
      <w:sz w:val="16"/>
      <w:szCs w:val="16"/>
    </w:rPr>
  </w:style>
  <w:style w:type="paragraph" w:customStyle="1" w:styleId="xl158">
    <w:name w:val="xl158"/>
    <w:basedOn w:val="Normal"/>
    <w:rsid w:val="0094707F"/>
    <w:pPr>
      <w:pBdr>
        <w:top w:val="single" w:sz="4" w:space="0" w:color="auto"/>
      </w:pBdr>
      <w:shd w:val="clear" w:color="000000" w:fill="FFFFFF"/>
      <w:spacing w:before="100" w:beforeAutospacing="1" w:after="100" w:afterAutospacing="1"/>
    </w:pPr>
    <w:rPr>
      <w:rFonts w:ascii="Times New Roman" w:hAnsi="Times New Roman"/>
      <w:b/>
      <w:bCs/>
      <w:sz w:val="16"/>
      <w:szCs w:val="16"/>
    </w:rPr>
  </w:style>
  <w:style w:type="paragraph" w:customStyle="1" w:styleId="xl159">
    <w:name w:val="xl159"/>
    <w:basedOn w:val="Normal"/>
    <w:rsid w:val="0094707F"/>
    <w:pPr>
      <w:pBdr>
        <w:top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160">
    <w:name w:val="xl160"/>
    <w:basedOn w:val="Normal"/>
    <w:rsid w:val="0094707F"/>
    <w:pPr>
      <w:pBdr>
        <w:top w:val="single" w:sz="4" w:space="0" w:color="auto"/>
        <w:right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161">
    <w:name w:val="xl161"/>
    <w:basedOn w:val="Normal"/>
    <w:rsid w:val="0094707F"/>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16"/>
      <w:szCs w:val="16"/>
    </w:rPr>
  </w:style>
  <w:style w:type="paragraph" w:customStyle="1" w:styleId="xl162">
    <w:name w:val="xl162"/>
    <w:basedOn w:val="Normal"/>
    <w:rsid w:val="0094707F"/>
    <w:pPr>
      <w:shd w:val="clear" w:color="000000" w:fill="FFFFFF"/>
      <w:spacing w:before="100" w:beforeAutospacing="1" w:after="100" w:afterAutospacing="1"/>
      <w:jc w:val="center"/>
      <w:textAlignment w:val="center"/>
    </w:pPr>
    <w:rPr>
      <w:rFonts w:ascii="Times New Roman" w:hAnsi="Times New Roman"/>
      <w:color w:val="000000"/>
      <w:sz w:val="16"/>
      <w:szCs w:val="16"/>
    </w:rPr>
  </w:style>
  <w:style w:type="paragraph" w:customStyle="1" w:styleId="xl163">
    <w:name w:val="xl163"/>
    <w:basedOn w:val="Normal"/>
    <w:rsid w:val="0094707F"/>
    <w:pPr>
      <w:pBdr>
        <w:right w:val="single" w:sz="4" w:space="0" w:color="auto"/>
      </w:pBdr>
      <w:shd w:val="clear" w:color="000000" w:fill="FFFFFF"/>
      <w:spacing w:before="100" w:beforeAutospacing="1" w:after="100" w:afterAutospacing="1"/>
      <w:jc w:val="center"/>
    </w:pPr>
    <w:rPr>
      <w:rFonts w:ascii="Times New Roman" w:hAnsi="Times New Roman"/>
      <w:sz w:val="16"/>
      <w:szCs w:val="16"/>
    </w:rPr>
  </w:style>
  <w:style w:type="paragraph" w:customStyle="1" w:styleId="xl164">
    <w:name w:val="xl164"/>
    <w:basedOn w:val="Normal"/>
    <w:rsid w:val="009470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6"/>
      <w:szCs w:val="16"/>
    </w:rPr>
  </w:style>
  <w:style w:type="paragraph" w:customStyle="1" w:styleId="xl165">
    <w:name w:val="xl165"/>
    <w:basedOn w:val="Normal"/>
    <w:rsid w:val="0094707F"/>
    <w:pPr>
      <w:pBdr>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6">
    <w:name w:val="xl166"/>
    <w:basedOn w:val="Normal"/>
    <w:rsid w:val="0094707F"/>
    <w:pPr>
      <w:pBdr>
        <w:bottom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7">
    <w:name w:val="xl167"/>
    <w:basedOn w:val="Normal"/>
    <w:rsid w:val="00947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8">
    <w:name w:val="xl168"/>
    <w:basedOn w:val="Normal"/>
    <w:rsid w:val="0094707F"/>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9">
    <w:name w:val="xl169"/>
    <w:basedOn w:val="Normal"/>
    <w:rsid w:val="0094707F"/>
    <w:pPr>
      <w:shd w:val="clear" w:color="000000" w:fill="FFFFFF"/>
      <w:spacing w:before="100" w:beforeAutospacing="1" w:after="100" w:afterAutospacing="1"/>
      <w:jc w:val="center"/>
      <w:textAlignment w:val="center"/>
    </w:pPr>
    <w:rPr>
      <w:rFonts w:ascii="Times New Roman" w:hAnsi="Times New Roman"/>
      <w:b/>
      <w:bCs/>
      <w:sz w:val="16"/>
      <w:szCs w:val="16"/>
    </w:rPr>
  </w:style>
  <w:style w:type="paragraph" w:customStyle="1" w:styleId="xl170">
    <w:name w:val="xl170"/>
    <w:basedOn w:val="Normal"/>
    <w:rsid w:val="0094707F"/>
    <w:pPr>
      <w:pBdr>
        <w:top w:val="single" w:sz="4" w:space="0" w:color="auto"/>
        <w:lef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1">
    <w:name w:val="xl171"/>
    <w:basedOn w:val="Normal"/>
    <w:rsid w:val="0094707F"/>
    <w:pPr>
      <w:pBdr>
        <w:top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2">
    <w:name w:val="xl172"/>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3">
    <w:name w:val="xl173"/>
    <w:basedOn w:val="Normal"/>
    <w:rsid w:val="0094707F"/>
    <w:pPr>
      <w:pBdr>
        <w:top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4">
    <w:name w:val="xl174"/>
    <w:basedOn w:val="Normal"/>
    <w:rsid w:val="0094707F"/>
    <w:pPr>
      <w:pBdr>
        <w:lef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5">
    <w:name w:val="xl175"/>
    <w:basedOn w:val="Normal"/>
    <w:rsid w:val="0094707F"/>
    <w:pPr>
      <w:shd w:val="clear" w:color="000000" w:fill="FFFFFF"/>
      <w:spacing w:before="100" w:beforeAutospacing="1" w:after="100" w:afterAutospacing="1"/>
    </w:pPr>
    <w:rPr>
      <w:rFonts w:ascii="Times New Roman" w:hAnsi="Times New Roman"/>
      <w:color w:val="000000"/>
      <w:sz w:val="16"/>
      <w:szCs w:val="16"/>
    </w:rPr>
  </w:style>
  <w:style w:type="paragraph" w:customStyle="1" w:styleId="xl176">
    <w:name w:val="xl176"/>
    <w:basedOn w:val="Normal"/>
    <w:rsid w:val="0094707F"/>
    <w:pPr>
      <w:pBdr>
        <w:left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7">
    <w:name w:val="xl177"/>
    <w:basedOn w:val="Normal"/>
    <w:rsid w:val="0094707F"/>
    <w:pPr>
      <w:pBdr>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8">
    <w:name w:val="xl178"/>
    <w:basedOn w:val="Normal"/>
    <w:rsid w:val="0094707F"/>
    <w:pPr>
      <w:pBdr>
        <w:bottom w:val="single" w:sz="4" w:space="0" w:color="auto"/>
      </w:pBdr>
      <w:shd w:val="clear" w:color="000000" w:fill="FFFFFF"/>
      <w:spacing w:before="100" w:beforeAutospacing="1" w:after="100" w:afterAutospacing="1"/>
      <w:jc w:val="center"/>
      <w:textAlignment w:val="center"/>
    </w:pPr>
    <w:rPr>
      <w:rFonts w:ascii="Times New Roman" w:hAnsi="Times New Roman"/>
      <w:b/>
      <w:bCs/>
      <w:sz w:val="16"/>
      <w:szCs w:val="16"/>
    </w:rPr>
  </w:style>
  <w:style w:type="paragraph" w:customStyle="1" w:styleId="xl179">
    <w:name w:val="xl179"/>
    <w:basedOn w:val="Normal"/>
    <w:rsid w:val="0094707F"/>
    <w:pPr>
      <w:pBdr>
        <w:left w:val="single" w:sz="4" w:space="0" w:color="auto"/>
        <w:bottom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0">
    <w:name w:val="xl180"/>
    <w:basedOn w:val="Normal"/>
    <w:rsid w:val="0094707F"/>
    <w:pPr>
      <w:pBdr>
        <w:bottom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1">
    <w:name w:val="xl181"/>
    <w:basedOn w:val="Normal"/>
    <w:rsid w:val="0094707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2">
    <w:name w:val="xl182"/>
    <w:basedOn w:val="Normal"/>
    <w:rsid w:val="0094707F"/>
    <w:pPr>
      <w:pBdr>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3">
    <w:name w:val="xl183"/>
    <w:basedOn w:val="Normal"/>
    <w:rsid w:val="0094707F"/>
    <w:pPr>
      <w:spacing w:before="100" w:beforeAutospacing="1" w:after="100" w:afterAutospacing="1"/>
      <w:jc w:val="center"/>
      <w:textAlignment w:val="center"/>
    </w:pPr>
    <w:rPr>
      <w:rFonts w:ascii="Calibri" w:hAnsi="Calibri"/>
      <w:color w:val="000000"/>
      <w:sz w:val="16"/>
      <w:szCs w:val="16"/>
    </w:rPr>
  </w:style>
  <w:style w:type="paragraph" w:customStyle="1" w:styleId="xl184">
    <w:name w:val="xl184"/>
    <w:basedOn w:val="Normal"/>
    <w:rsid w:val="0094707F"/>
    <w:pPr>
      <w:spacing w:before="100" w:beforeAutospacing="1" w:after="100" w:afterAutospacing="1"/>
      <w:jc w:val="center"/>
      <w:textAlignment w:val="center"/>
    </w:pPr>
    <w:rPr>
      <w:rFonts w:ascii="Calibri" w:hAnsi="Calibri"/>
      <w:b/>
      <w:bCs/>
      <w:sz w:val="16"/>
      <w:szCs w:val="16"/>
    </w:rPr>
  </w:style>
  <w:style w:type="paragraph" w:customStyle="1" w:styleId="xl185">
    <w:name w:val="xl185"/>
    <w:basedOn w:val="Normal"/>
    <w:rsid w:val="0094707F"/>
    <w:pPr>
      <w:pBdr>
        <w:top w:val="single" w:sz="4" w:space="0" w:color="auto"/>
        <w:left w:val="single" w:sz="4" w:space="0" w:color="auto"/>
      </w:pBdr>
      <w:spacing w:before="100" w:beforeAutospacing="1" w:after="100" w:afterAutospacing="1"/>
    </w:pPr>
    <w:rPr>
      <w:rFonts w:ascii="Calibri" w:hAnsi="Calibri"/>
      <w:color w:val="000000"/>
      <w:sz w:val="16"/>
      <w:szCs w:val="16"/>
    </w:rPr>
  </w:style>
  <w:style w:type="paragraph" w:customStyle="1" w:styleId="xl186">
    <w:name w:val="xl186"/>
    <w:basedOn w:val="Normal"/>
    <w:rsid w:val="0094707F"/>
    <w:pPr>
      <w:pBdr>
        <w:top w:val="single" w:sz="4" w:space="0" w:color="auto"/>
      </w:pBdr>
      <w:spacing w:before="100" w:beforeAutospacing="1" w:after="100" w:afterAutospacing="1"/>
    </w:pPr>
    <w:rPr>
      <w:rFonts w:ascii="Calibri" w:hAnsi="Calibri"/>
      <w:color w:val="000000"/>
      <w:sz w:val="16"/>
      <w:szCs w:val="16"/>
    </w:rPr>
  </w:style>
  <w:style w:type="paragraph" w:customStyle="1" w:styleId="xl187">
    <w:name w:val="xl187"/>
    <w:basedOn w:val="Normal"/>
    <w:rsid w:val="0094707F"/>
    <w:pPr>
      <w:spacing w:before="100" w:beforeAutospacing="1" w:after="100" w:afterAutospacing="1"/>
    </w:pPr>
    <w:rPr>
      <w:rFonts w:ascii="Calibri" w:hAnsi="Calibri"/>
      <w:color w:val="000000"/>
      <w:sz w:val="16"/>
      <w:szCs w:val="16"/>
    </w:rPr>
  </w:style>
  <w:style w:type="paragraph" w:customStyle="1" w:styleId="xl188">
    <w:name w:val="xl188"/>
    <w:basedOn w:val="Normal"/>
    <w:rsid w:val="0094707F"/>
    <w:pPr>
      <w:pBdr>
        <w:left w:val="single" w:sz="4" w:space="0" w:color="auto"/>
        <w:right w:val="single" w:sz="4" w:space="0" w:color="auto"/>
      </w:pBdr>
      <w:spacing w:before="100" w:beforeAutospacing="1" w:after="100" w:afterAutospacing="1"/>
    </w:pPr>
    <w:rPr>
      <w:rFonts w:ascii="Calibri" w:hAnsi="Calibri"/>
      <w:color w:val="000000"/>
      <w:sz w:val="16"/>
      <w:szCs w:val="16"/>
    </w:rPr>
  </w:style>
  <w:style w:type="paragraph" w:customStyle="1" w:styleId="xl189">
    <w:name w:val="xl189"/>
    <w:basedOn w:val="Normal"/>
    <w:rsid w:val="0094707F"/>
    <w:pPr>
      <w:pBdr>
        <w:left w:val="single" w:sz="4" w:space="0" w:color="auto"/>
      </w:pBdr>
      <w:spacing w:before="100" w:beforeAutospacing="1" w:after="100" w:afterAutospacing="1"/>
    </w:pPr>
    <w:rPr>
      <w:rFonts w:ascii="Calibri" w:hAnsi="Calibri"/>
      <w:color w:val="000000"/>
      <w:sz w:val="16"/>
      <w:szCs w:val="16"/>
    </w:rPr>
  </w:style>
  <w:style w:type="paragraph" w:customStyle="1" w:styleId="xl190">
    <w:name w:val="xl190"/>
    <w:basedOn w:val="Normal"/>
    <w:rsid w:val="0094707F"/>
    <w:pPr>
      <w:pBdr>
        <w:bottom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91">
    <w:name w:val="xl191"/>
    <w:basedOn w:val="Normal"/>
    <w:rsid w:val="0094707F"/>
    <w:pPr>
      <w:pBdr>
        <w:left w:val="single" w:sz="4" w:space="0" w:color="auto"/>
        <w:bottom w:val="single" w:sz="4" w:space="0" w:color="auto"/>
      </w:pBdr>
      <w:spacing w:before="100" w:beforeAutospacing="1" w:after="100" w:afterAutospacing="1"/>
    </w:pPr>
    <w:rPr>
      <w:rFonts w:ascii="Calibri" w:hAnsi="Calibri"/>
      <w:color w:val="000000"/>
      <w:sz w:val="16"/>
      <w:szCs w:val="16"/>
    </w:rPr>
  </w:style>
  <w:style w:type="paragraph" w:customStyle="1" w:styleId="xl192">
    <w:name w:val="xl192"/>
    <w:basedOn w:val="Normal"/>
    <w:rsid w:val="0094707F"/>
    <w:pPr>
      <w:pBdr>
        <w:bottom w:val="single" w:sz="4" w:space="0" w:color="auto"/>
      </w:pBdr>
      <w:spacing w:before="100" w:beforeAutospacing="1" w:after="100" w:afterAutospacing="1"/>
    </w:pPr>
    <w:rPr>
      <w:rFonts w:ascii="Calibri" w:hAnsi="Calibri"/>
      <w:color w:val="000000"/>
      <w:sz w:val="16"/>
      <w:szCs w:val="16"/>
    </w:rPr>
  </w:style>
  <w:style w:type="paragraph" w:customStyle="1" w:styleId="xl193">
    <w:name w:val="xl193"/>
    <w:basedOn w:val="Normal"/>
    <w:rsid w:val="0094707F"/>
    <w:pPr>
      <w:pBdr>
        <w:left w:val="single" w:sz="4" w:space="0" w:color="auto"/>
        <w:bottom w:val="single" w:sz="4" w:space="0" w:color="auto"/>
        <w:right w:val="single" w:sz="4" w:space="0" w:color="auto"/>
      </w:pBdr>
      <w:spacing w:before="100" w:beforeAutospacing="1" w:after="100" w:afterAutospacing="1"/>
    </w:pPr>
    <w:rPr>
      <w:rFonts w:ascii="Calibri" w:hAnsi="Calibri"/>
      <w:color w:val="000000"/>
      <w:sz w:val="16"/>
      <w:szCs w:val="16"/>
    </w:rPr>
  </w:style>
  <w:style w:type="paragraph" w:customStyle="1" w:styleId="xl194">
    <w:name w:val="xl194"/>
    <w:basedOn w:val="Normal"/>
    <w:rsid w:val="009470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95">
    <w:name w:val="xl195"/>
    <w:basedOn w:val="Normal"/>
    <w:rsid w:val="0094707F"/>
    <w:pPr>
      <w:pBdr>
        <w:top w:val="single" w:sz="4" w:space="0" w:color="auto"/>
        <w:left w:val="single" w:sz="4" w:space="0" w:color="auto"/>
        <w:right w:val="single" w:sz="4" w:space="0" w:color="auto"/>
      </w:pBdr>
      <w:spacing w:before="100" w:beforeAutospacing="1" w:after="100" w:afterAutospacing="1"/>
    </w:pPr>
    <w:rPr>
      <w:rFonts w:ascii="Calibri" w:hAnsi="Calibri"/>
      <w:color w:val="000000"/>
      <w:sz w:val="16"/>
      <w:szCs w:val="16"/>
    </w:rPr>
  </w:style>
  <w:style w:type="paragraph" w:customStyle="1" w:styleId="xl196">
    <w:name w:val="xl196"/>
    <w:basedOn w:val="Normal"/>
    <w:rsid w:val="0094707F"/>
    <w:pPr>
      <w:pBdr>
        <w:top w:val="single" w:sz="4" w:space="0" w:color="auto"/>
        <w:left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197">
    <w:name w:val="xl197"/>
    <w:basedOn w:val="Normal"/>
    <w:rsid w:val="0094707F"/>
    <w:pPr>
      <w:pBdr>
        <w:left w:val="single" w:sz="4" w:space="0" w:color="auto"/>
        <w:right w:val="single" w:sz="4" w:space="0" w:color="auto"/>
      </w:pBdr>
      <w:spacing w:before="100" w:beforeAutospacing="1" w:after="100" w:afterAutospacing="1"/>
      <w:jc w:val="center"/>
      <w:textAlignment w:val="center"/>
    </w:pPr>
    <w:rPr>
      <w:rFonts w:ascii="Calibri" w:hAnsi="Calibri"/>
      <w:color w:val="000000"/>
      <w:sz w:val="16"/>
      <w:szCs w:val="16"/>
    </w:rPr>
  </w:style>
  <w:style w:type="paragraph" w:customStyle="1" w:styleId="xl198">
    <w:name w:val="xl198"/>
    <w:basedOn w:val="Normal"/>
    <w:rsid w:val="0094707F"/>
    <w:pPr>
      <w:pBdr>
        <w:left w:val="single" w:sz="4" w:space="0" w:color="auto"/>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199">
    <w:name w:val="xl199"/>
    <w:basedOn w:val="Normal"/>
    <w:rsid w:val="0094707F"/>
    <w:pPr>
      <w:pBdr>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0">
    <w:name w:val="xl200"/>
    <w:basedOn w:val="Normal"/>
    <w:rsid w:val="009470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1">
    <w:name w:val="xl201"/>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customStyle="1" w:styleId="xl202">
    <w:name w:val="xl202"/>
    <w:basedOn w:val="Normal"/>
    <w:rsid w:val="0094707F"/>
    <w:pPr>
      <w:spacing w:before="100" w:beforeAutospacing="1" w:after="100" w:afterAutospacing="1"/>
    </w:pPr>
    <w:rPr>
      <w:rFonts w:ascii="Calibri" w:hAnsi="Calibri"/>
      <w:b/>
      <w:bCs/>
      <w:color w:val="000000"/>
      <w:sz w:val="16"/>
      <w:szCs w:val="16"/>
    </w:rPr>
  </w:style>
  <w:style w:type="paragraph" w:customStyle="1" w:styleId="xl203">
    <w:name w:val="xl203"/>
    <w:basedOn w:val="Normal"/>
    <w:rsid w:val="009470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4">
    <w:name w:val="xl204"/>
    <w:basedOn w:val="Normal"/>
    <w:rsid w:val="0094707F"/>
    <w:pPr>
      <w:pBdr>
        <w:left w:val="single" w:sz="4" w:space="0" w:color="auto"/>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5">
    <w:name w:val="xl205"/>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customStyle="1" w:styleId="xl206">
    <w:name w:val="xl206"/>
    <w:basedOn w:val="Normal"/>
    <w:rsid w:val="0094707F"/>
    <w:pPr>
      <w:pBdr>
        <w:right w:val="single" w:sz="4" w:space="0" w:color="auto"/>
      </w:pBdr>
      <w:spacing w:before="100" w:beforeAutospacing="1" w:after="100" w:afterAutospacing="1"/>
    </w:pPr>
    <w:rPr>
      <w:rFonts w:ascii="Calibri" w:hAnsi="Calibri"/>
      <w:color w:val="000000"/>
      <w:sz w:val="16"/>
      <w:szCs w:val="16"/>
    </w:rPr>
  </w:style>
  <w:style w:type="paragraph" w:customStyle="1" w:styleId="xl207">
    <w:name w:val="xl207"/>
    <w:basedOn w:val="Normal"/>
    <w:rsid w:val="0094707F"/>
    <w:pPr>
      <w:pBdr>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8">
    <w:name w:val="xl208"/>
    <w:basedOn w:val="Normal"/>
    <w:rsid w:val="0094707F"/>
    <w:pPr>
      <w:pBdr>
        <w:left w:val="single" w:sz="4" w:space="0" w:color="auto"/>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9">
    <w:name w:val="xl209"/>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customStyle="1" w:styleId="xl210">
    <w:name w:val="xl210"/>
    <w:basedOn w:val="Normal"/>
    <w:rsid w:val="0094707F"/>
    <w:pPr>
      <w:pBdr>
        <w:left w:val="single" w:sz="4" w:space="0" w:color="auto"/>
        <w:right w:val="single" w:sz="4" w:space="0" w:color="auto"/>
      </w:pBdr>
      <w:spacing w:before="100" w:beforeAutospacing="1" w:after="100" w:afterAutospacing="1"/>
      <w:jc w:val="right"/>
    </w:pPr>
    <w:rPr>
      <w:rFonts w:ascii="Calibri" w:hAnsi="Calibri"/>
      <w:color w:val="000000"/>
      <w:sz w:val="16"/>
      <w:szCs w:val="16"/>
    </w:rPr>
  </w:style>
  <w:style w:type="paragraph" w:customStyle="1" w:styleId="xl211">
    <w:name w:val="xl211"/>
    <w:basedOn w:val="Normal"/>
    <w:rsid w:val="0094707F"/>
    <w:pPr>
      <w:pBdr>
        <w:left w:val="single" w:sz="4" w:space="0" w:color="auto"/>
      </w:pBdr>
      <w:spacing w:before="100" w:beforeAutospacing="1" w:after="100" w:afterAutospacing="1"/>
      <w:jc w:val="right"/>
    </w:pPr>
    <w:rPr>
      <w:rFonts w:ascii="Calibri" w:hAnsi="Calibri"/>
      <w:color w:val="000000"/>
      <w:sz w:val="16"/>
      <w:szCs w:val="16"/>
    </w:rPr>
  </w:style>
  <w:style w:type="paragraph" w:customStyle="1" w:styleId="xl212">
    <w:name w:val="xl212"/>
    <w:basedOn w:val="Normal"/>
    <w:rsid w:val="0094707F"/>
    <w:pPr>
      <w:pBdr>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13">
    <w:name w:val="xl213"/>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styleId="Korrektur">
    <w:name w:val="Revision"/>
    <w:hidden/>
    <w:uiPriority w:val="99"/>
    <w:semiHidden/>
    <w:rsid w:val="0094707F"/>
    <w:rPr>
      <w:sz w:val="24"/>
      <w:szCs w:val="24"/>
      <w:lang w:eastAsia="en-US"/>
    </w:rPr>
  </w:style>
  <w:style w:type="paragraph" w:styleId="Overskrift">
    <w:name w:val="TOC Heading"/>
    <w:basedOn w:val="Overskrift1"/>
    <w:next w:val="Normal"/>
    <w:uiPriority w:val="39"/>
    <w:unhideWhenUsed/>
    <w:qFormat/>
    <w:rsid w:val="006D04C4"/>
    <w:pPr>
      <w:spacing w:before="240" w:line="259" w:lineRule="auto"/>
      <w:outlineLvl w:val="9"/>
    </w:pPr>
    <w:rPr>
      <w:rFonts w:asciiTheme="majorHAnsi" w:hAnsiTheme="majorHAnsi"/>
      <w:b w:val="0"/>
      <w:bCs w:val="0"/>
      <w:sz w:val="32"/>
      <w:szCs w:val="32"/>
    </w:rPr>
  </w:style>
  <w:style w:type="paragraph" w:customStyle="1" w:styleId="msonormal0">
    <w:name w:val="msonormal"/>
    <w:basedOn w:val="Normal"/>
    <w:rsid w:val="00243C0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8336">
      <w:bodyDiv w:val="1"/>
      <w:marLeft w:val="0"/>
      <w:marRight w:val="0"/>
      <w:marTop w:val="0"/>
      <w:marBottom w:val="0"/>
      <w:divBdr>
        <w:top w:val="none" w:sz="0" w:space="0" w:color="auto"/>
        <w:left w:val="none" w:sz="0" w:space="0" w:color="auto"/>
        <w:bottom w:val="none" w:sz="0" w:space="0" w:color="auto"/>
        <w:right w:val="none" w:sz="0" w:space="0" w:color="auto"/>
      </w:divBdr>
    </w:div>
    <w:div w:id="48655971">
      <w:bodyDiv w:val="1"/>
      <w:marLeft w:val="0"/>
      <w:marRight w:val="0"/>
      <w:marTop w:val="0"/>
      <w:marBottom w:val="0"/>
      <w:divBdr>
        <w:top w:val="none" w:sz="0" w:space="0" w:color="auto"/>
        <w:left w:val="none" w:sz="0" w:space="0" w:color="auto"/>
        <w:bottom w:val="none" w:sz="0" w:space="0" w:color="auto"/>
        <w:right w:val="none" w:sz="0" w:space="0" w:color="auto"/>
      </w:divBdr>
    </w:div>
    <w:div w:id="52317978">
      <w:bodyDiv w:val="1"/>
      <w:marLeft w:val="0"/>
      <w:marRight w:val="0"/>
      <w:marTop w:val="0"/>
      <w:marBottom w:val="0"/>
      <w:divBdr>
        <w:top w:val="none" w:sz="0" w:space="0" w:color="auto"/>
        <w:left w:val="none" w:sz="0" w:space="0" w:color="auto"/>
        <w:bottom w:val="none" w:sz="0" w:space="0" w:color="auto"/>
        <w:right w:val="none" w:sz="0" w:space="0" w:color="auto"/>
      </w:divBdr>
    </w:div>
    <w:div w:id="73552767">
      <w:bodyDiv w:val="1"/>
      <w:marLeft w:val="0"/>
      <w:marRight w:val="0"/>
      <w:marTop w:val="0"/>
      <w:marBottom w:val="0"/>
      <w:divBdr>
        <w:top w:val="none" w:sz="0" w:space="0" w:color="auto"/>
        <w:left w:val="none" w:sz="0" w:space="0" w:color="auto"/>
        <w:bottom w:val="none" w:sz="0" w:space="0" w:color="auto"/>
        <w:right w:val="none" w:sz="0" w:space="0" w:color="auto"/>
      </w:divBdr>
    </w:div>
    <w:div w:id="77288633">
      <w:bodyDiv w:val="1"/>
      <w:marLeft w:val="0"/>
      <w:marRight w:val="0"/>
      <w:marTop w:val="0"/>
      <w:marBottom w:val="0"/>
      <w:divBdr>
        <w:top w:val="none" w:sz="0" w:space="0" w:color="auto"/>
        <w:left w:val="none" w:sz="0" w:space="0" w:color="auto"/>
        <w:bottom w:val="none" w:sz="0" w:space="0" w:color="auto"/>
        <w:right w:val="none" w:sz="0" w:space="0" w:color="auto"/>
      </w:divBdr>
    </w:div>
    <w:div w:id="145973422">
      <w:bodyDiv w:val="1"/>
      <w:marLeft w:val="0"/>
      <w:marRight w:val="0"/>
      <w:marTop w:val="0"/>
      <w:marBottom w:val="0"/>
      <w:divBdr>
        <w:top w:val="none" w:sz="0" w:space="0" w:color="auto"/>
        <w:left w:val="none" w:sz="0" w:space="0" w:color="auto"/>
        <w:bottom w:val="none" w:sz="0" w:space="0" w:color="auto"/>
        <w:right w:val="none" w:sz="0" w:space="0" w:color="auto"/>
      </w:divBdr>
    </w:div>
    <w:div w:id="242225378">
      <w:bodyDiv w:val="1"/>
      <w:marLeft w:val="0"/>
      <w:marRight w:val="0"/>
      <w:marTop w:val="0"/>
      <w:marBottom w:val="0"/>
      <w:divBdr>
        <w:top w:val="none" w:sz="0" w:space="0" w:color="auto"/>
        <w:left w:val="none" w:sz="0" w:space="0" w:color="auto"/>
        <w:bottom w:val="none" w:sz="0" w:space="0" w:color="auto"/>
        <w:right w:val="none" w:sz="0" w:space="0" w:color="auto"/>
      </w:divBdr>
    </w:div>
    <w:div w:id="290786992">
      <w:bodyDiv w:val="1"/>
      <w:marLeft w:val="0"/>
      <w:marRight w:val="0"/>
      <w:marTop w:val="0"/>
      <w:marBottom w:val="0"/>
      <w:divBdr>
        <w:top w:val="none" w:sz="0" w:space="0" w:color="auto"/>
        <w:left w:val="none" w:sz="0" w:space="0" w:color="auto"/>
        <w:bottom w:val="none" w:sz="0" w:space="0" w:color="auto"/>
        <w:right w:val="none" w:sz="0" w:space="0" w:color="auto"/>
      </w:divBdr>
    </w:div>
    <w:div w:id="292642823">
      <w:bodyDiv w:val="1"/>
      <w:marLeft w:val="0"/>
      <w:marRight w:val="0"/>
      <w:marTop w:val="0"/>
      <w:marBottom w:val="0"/>
      <w:divBdr>
        <w:top w:val="none" w:sz="0" w:space="0" w:color="auto"/>
        <w:left w:val="none" w:sz="0" w:space="0" w:color="auto"/>
        <w:bottom w:val="none" w:sz="0" w:space="0" w:color="auto"/>
        <w:right w:val="none" w:sz="0" w:space="0" w:color="auto"/>
      </w:divBdr>
    </w:div>
    <w:div w:id="333142744">
      <w:bodyDiv w:val="1"/>
      <w:marLeft w:val="0"/>
      <w:marRight w:val="0"/>
      <w:marTop w:val="0"/>
      <w:marBottom w:val="0"/>
      <w:divBdr>
        <w:top w:val="none" w:sz="0" w:space="0" w:color="auto"/>
        <w:left w:val="none" w:sz="0" w:space="0" w:color="auto"/>
        <w:bottom w:val="none" w:sz="0" w:space="0" w:color="auto"/>
        <w:right w:val="none" w:sz="0" w:space="0" w:color="auto"/>
      </w:divBdr>
    </w:div>
    <w:div w:id="359166125">
      <w:bodyDiv w:val="1"/>
      <w:marLeft w:val="0"/>
      <w:marRight w:val="0"/>
      <w:marTop w:val="0"/>
      <w:marBottom w:val="0"/>
      <w:divBdr>
        <w:top w:val="none" w:sz="0" w:space="0" w:color="auto"/>
        <w:left w:val="none" w:sz="0" w:space="0" w:color="auto"/>
        <w:bottom w:val="none" w:sz="0" w:space="0" w:color="auto"/>
        <w:right w:val="none" w:sz="0" w:space="0" w:color="auto"/>
      </w:divBdr>
    </w:div>
    <w:div w:id="367486523">
      <w:bodyDiv w:val="1"/>
      <w:marLeft w:val="0"/>
      <w:marRight w:val="0"/>
      <w:marTop w:val="0"/>
      <w:marBottom w:val="0"/>
      <w:divBdr>
        <w:top w:val="none" w:sz="0" w:space="0" w:color="auto"/>
        <w:left w:val="none" w:sz="0" w:space="0" w:color="auto"/>
        <w:bottom w:val="none" w:sz="0" w:space="0" w:color="auto"/>
        <w:right w:val="none" w:sz="0" w:space="0" w:color="auto"/>
      </w:divBdr>
    </w:div>
    <w:div w:id="401759999">
      <w:bodyDiv w:val="1"/>
      <w:marLeft w:val="0"/>
      <w:marRight w:val="0"/>
      <w:marTop w:val="0"/>
      <w:marBottom w:val="0"/>
      <w:divBdr>
        <w:top w:val="none" w:sz="0" w:space="0" w:color="auto"/>
        <w:left w:val="none" w:sz="0" w:space="0" w:color="auto"/>
        <w:bottom w:val="none" w:sz="0" w:space="0" w:color="auto"/>
        <w:right w:val="none" w:sz="0" w:space="0" w:color="auto"/>
      </w:divBdr>
    </w:div>
    <w:div w:id="482284745">
      <w:bodyDiv w:val="1"/>
      <w:marLeft w:val="0"/>
      <w:marRight w:val="0"/>
      <w:marTop w:val="0"/>
      <w:marBottom w:val="0"/>
      <w:divBdr>
        <w:top w:val="none" w:sz="0" w:space="0" w:color="auto"/>
        <w:left w:val="none" w:sz="0" w:space="0" w:color="auto"/>
        <w:bottom w:val="none" w:sz="0" w:space="0" w:color="auto"/>
        <w:right w:val="none" w:sz="0" w:space="0" w:color="auto"/>
      </w:divBdr>
    </w:div>
    <w:div w:id="487595373">
      <w:bodyDiv w:val="1"/>
      <w:marLeft w:val="0"/>
      <w:marRight w:val="0"/>
      <w:marTop w:val="0"/>
      <w:marBottom w:val="0"/>
      <w:divBdr>
        <w:top w:val="none" w:sz="0" w:space="0" w:color="auto"/>
        <w:left w:val="none" w:sz="0" w:space="0" w:color="auto"/>
        <w:bottom w:val="none" w:sz="0" w:space="0" w:color="auto"/>
        <w:right w:val="none" w:sz="0" w:space="0" w:color="auto"/>
      </w:divBdr>
    </w:div>
    <w:div w:id="513111740">
      <w:bodyDiv w:val="1"/>
      <w:marLeft w:val="0"/>
      <w:marRight w:val="0"/>
      <w:marTop w:val="0"/>
      <w:marBottom w:val="0"/>
      <w:divBdr>
        <w:top w:val="none" w:sz="0" w:space="0" w:color="auto"/>
        <w:left w:val="none" w:sz="0" w:space="0" w:color="auto"/>
        <w:bottom w:val="none" w:sz="0" w:space="0" w:color="auto"/>
        <w:right w:val="none" w:sz="0" w:space="0" w:color="auto"/>
      </w:divBdr>
    </w:div>
    <w:div w:id="540822557">
      <w:bodyDiv w:val="1"/>
      <w:marLeft w:val="0"/>
      <w:marRight w:val="0"/>
      <w:marTop w:val="0"/>
      <w:marBottom w:val="0"/>
      <w:divBdr>
        <w:top w:val="none" w:sz="0" w:space="0" w:color="auto"/>
        <w:left w:val="none" w:sz="0" w:space="0" w:color="auto"/>
        <w:bottom w:val="none" w:sz="0" w:space="0" w:color="auto"/>
        <w:right w:val="none" w:sz="0" w:space="0" w:color="auto"/>
      </w:divBdr>
    </w:div>
    <w:div w:id="579407542">
      <w:bodyDiv w:val="1"/>
      <w:marLeft w:val="0"/>
      <w:marRight w:val="0"/>
      <w:marTop w:val="0"/>
      <w:marBottom w:val="0"/>
      <w:divBdr>
        <w:top w:val="none" w:sz="0" w:space="0" w:color="auto"/>
        <w:left w:val="none" w:sz="0" w:space="0" w:color="auto"/>
        <w:bottom w:val="none" w:sz="0" w:space="0" w:color="auto"/>
        <w:right w:val="none" w:sz="0" w:space="0" w:color="auto"/>
      </w:divBdr>
    </w:div>
    <w:div w:id="594750445">
      <w:bodyDiv w:val="1"/>
      <w:marLeft w:val="0"/>
      <w:marRight w:val="0"/>
      <w:marTop w:val="0"/>
      <w:marBottom w:val="0"/>
      <w:divBdr>
        <w:top w:val="none" w:sz="0" w:space="0" w:color="auto"/>
        <w:left w:val="none" w:sz="0" w:space="0" w:color="auto"/>
        <w:bottom w:val="none" w:sz="0" w:space="0" w:color="auto"/>
        <w:right w:val="none" w:sz="0" w:space="0" w:color="auto"/>
      </w:divBdr>
    </w:div>
    <w:div w:id="622347246">
      <w:bodyDiv w:val="1"/>
      <w:marLeft w:val="0"/>
      <w:marRight w:val="0"/>
      <w:marTop w:val="0"/>
      <w:marBottom w:val="0"/>
      <w:divBdr>
        <w:top w:val="none" w:sz="0" w:space="0" w:color="auto"/>
        <w:left w:val="none" w:sz="0" w:space="0" w:color="auto"/>
        <w:bottom w:val="none" w:sz="0" w:space="0" w:color="auto"/>
        <w:right w:val="none" w:sz="0" w:space="0" w:color="auto"/>
      </w:divBdr>
    </w:div>
    <w:div w:id="718020038">
      <w:bodyDiv w:val="1"/>
      <w:marLeft w:val="0"/>
      <w:marRight w:val="0"/>
      <w:marTop w:val="0"/>
      <w:marBottom w:val="0"/>
      <w:divBdr>
        <w:top w:val="none" w:sz="0" w:space="0" w:color="auto"/>
        <w:left w:val="none" w:sz="0" w:space="0" w:color="auto"/>
        <w:bottom w:val="none" w:sz="0" w:space="0" w:color="auto"/>
        <w:right w:val="none" w:sz="0" w:space="0" w:color="auto"/>
      </w:divBdr>
    </w:div>
    <w:div w:id="759565282">
      <w:bodyDiv w:val="1"/>
      <w:marLeft w:val="0"/>
      <w:marRight w:val="0"/>
      <w:marTop w:val="0"/>
      <w:marBottom w:val="0"/>
      <w:divBdr>
        <w:top w:val="none" w:sz="0" w:space="0" w:color="auto"/>
        <w:left w:val="none" w:sz="0" w:space="0" w:color="auto"/>
        <w:bottom w:val="none" w:sz="0" w:space="0" w:color="auto"/>
        <w:right w:val="none" w:sz="0" w:space="0" w:color="auto"/>
      </w:divBdr>
    </w:div>
    <w:div w:id="801768764">
      <w:bodyDiv w:val="1"/>
      <w:marLeft w:val="0"/>
      <w:marRight w:val="0"/>
      <w:marTop w:val="0"/>
      <w:marBottom w:val="0"/>
      <w:divBdr>
        <w:top w:val="none" w:sz="0" w:space="0" w:color="auto"/>
        <w:left w:val="none" w:sz="0" w:space="0" w:color="auto"/>
        <w:bottom w:val="none" w:sz="0" w:space="0" w:color="auto"/>
        <w:right w:val="none" w:sz="0" w:space="0" w:color="auto"/>
      </w:divBdr>
    </w:div>
    <w:div w:id="808979739">
      <w:bodyDiv w:val="1"/>
      <w:marLeft w:val="0"/>
      <w:marRight w:val="0"/>
      <w:marTop w:val="0"/>
      <w:marBottom w:val="0"/>
      <w:divBdr>
        <w:top w:val="none" w:sz="0" w:space="0" w:color="auto"/>
        <w:left w:val="none" w:sz="0" w:space="0" w:color="auto"/>
        <w:bottom w:val="none" w:sz="0" w:space="0" w:color="auto"/>
        <w:right w:val="none" w:sz="0" w:space="0" w:color="auto"/>
      </w:divBdr>
    </w:div>
    <w:div w:id="819462396">
      <w:bodyDiv w:val="1"/>
      <w:marLeft w:val="0"/>
      <w:marRight w:val="0"/>
      <w:marTop w:val="0"/>
      <w:marBottom w:val="0"/>
      <w:divBdr>
        <w:top w:val="none" w:sz="0" w:space="0" w:color="auto"/>
        <w:left w:val="none" w:sz="0" w:space="0" w:color="auto"/>
        <w:bottom w:val="none" w:sz="0" w:space="0" w:color="auto"/>
        <w:right w:val="none" w:sz="0" w:space="0" w:color="auto"/>
      </w:divBdr>
    </w:div>
    <w:div w:id="856188540">
      <w:bodyDiv w:val="1"/>
      <w:marLeft w:val="0"/>
      <w:marRight w:val="0"/>
      <w:marTop w:val="0"/>
      <w:marBottom w:val="0"/>
      <w:divBdr>
        <w:top w:val="none" w:sz="0" w:space="0" w:color="auto"/>
        <w:left w:val="none" w:sz="0" w:space="0" w:color="auto"/>
        <w:bottom w:val="none" w:sz="0" w:space="0" w:color="auto"/>
        <w:right w:val="none" w:sz="0" w:space="0" w:color="auto"/>
      </w:divBdr>
    </w:div>
    <w:div w:id="912860560">
      <w:bodyDiv w:val="1"/>
      <w:marLeft w:val="0"/>
      <w:marRight w:val="0"/>
      <w:marTop w:val="0"/>
      <w:marBottom w:val="0"/>
      <w:divBdr>
        <w:top w:val="none" w:sz="0" w:space="0" w:color="auto"/>
        <w:left w:val="none" w:sz="0" w:space="0" w:color="auto"/>
        <w:bottom w:val="none" w:sz="0" w:space="0" w:color="auto"/>
        <w:right w:val="none" w:sz="0" w:space="0" w:color="auto"/>
      </w:divBdr>
    </w:div>
    <w:div w:id="1014264226">
      <w:bodyDiv w:val="1"/>
      <w:marLeft w:val="0"/>
      <w:marRight w:val="0"/>
      <w:marTop w:val="0"/>
      <w:marBottom w:val="0"/>
      <w:divBdr>
        <w:top w:val="none" w:sz="0" w:space="0" w:color="auto"/>
        <w:left w:val="none" w:sz="0" w:space="0" w:color="auto"/>
        <w:bottom w:val="none" w:sz="0" w:space="0" w:color="auto"/>
        <w:right w:val="none" w:sz="0" w:space="0" w:color="auto"/>
      </w:divBdr>
    </w:div>
    <w:div w:id="1014841048">
      <w:bodyDiv w:val="1"/>
      <w:marLeft w:val="0"/>
      <w:marRight w:val="0"/>
      <w:marTop w:val="0"/>
      <w:marBottom w:val="0"/>
      <w:divBdr>
        <w:top w:val="none" w:sz="0" w:space="0" w:color="auto"/>
        <w:left w:val="none" w:sz="0" w:space="0" w:color="auto"/>
        <w:bottom w:val="none" w:sz="0" w:space="0" w:color="auto"/>
        <w:right w:val="none" w:sz="0" w:space="0" w:color="auto"/>
      </w:divBdr>
    </w:div>
    <w:div w:id="1232042432">
      <w:bodyDiv w:val="1"/>
      <w:marLeft w:val="0"/>
      <w:marRight w:val="0"/>
      <w:marTop w:val="0"/>
      <w:marBottom w:val="0"/>
      <w:divBdr>
        <w:top w:val="none" w:sz="0" w:space="0" w:color="auto"/>
        <w:left w:val="none" w:sz="0" w:space="0" w:color="auto"/>
        <w:bottom w:val="none" w:sz="0" w:space="0" w:color="auto"/>
        <w:right w:val="none" w:sz="0" w:space="0" w:color="auto"/>
      </w:divBdr>
    </w:div>
    <w:div w:id="1395395823">
      <w:bodyDiv w:val="1"/>
      <w:marLeft w:val="0"/>
      <w:marRight w:val="0"/>
      <w:marTop w:val="0"/>
      <w:marBottom w:val="0"/>
      <w:divBdr>
        <w:top w:val="none" w:sz="0" w:space="0" w:color="auto"/>
        <w:left w:val="none" w:sz="0" w:space="0" w:color="auto"/>
        <w:bottom w:val="none" w:sz="0" w:space="0" w:color="auto"/>
        <w:right w:val="none" w:sz="0" w:space="0" w:color="auto"/>
      </w:divBdr>
    </w:div>
    <w:div w:id="1395738128">
      <w:bodyDiv w:val="1"/>
      <w:marLeft w:val="0"/>
      <w:marRight w:val="0"/>
      <w:marTop w:val="0"/>
      <w:marBottom w:val="0"/>
      <w:divBdr>
        <w:top w:val="none" w:sz="0" w:space="0" w:color="auto"/>
        <w:left w:val="none" w:sz="0" w:space="0" w:color="auto"/>
        <w:bottom w:val="none" w:sz="0" w:space="0" w:color="auto"/>
        <w:right w:val="none" w:sz="0" w:space="0" w:color="auto"/>
      </w:divBdr>
    </w:div>
    <w:div w:id="1468357771">
      <w:bodyDiv w:val="1"/>
      <w:marLeft w:val="0"/>
      <w:marRight w:val="0"/>
      <w:marTop w:val="0"/>
      <w:marBottom w:val="0"/>
      <w:divBdr>
        <w:top w:val="none" w:sz="0" w:space="0" w:color="auto"/>
        <w:left w:val="none" w:sz="0" w:space="0" w:color="auto"/>
        <w:bottom w:val="none" w:sz="0" w:space="0" w:color="auto"/>
        <w:right w:val="none" w:sz="0" w:space="0" w:color="auto"/>
      </w:divBdr>
    </w:div>
    <w:div w:id="1579942500">
      <w:bodyDiv w:val="1"/>
      <w:marLeft w:val="0"/>
      <w:marRight w:val="0"/>
      <w:marTop w:val="0"/>
      <w:marBottom w:val="0"/>
      <w:divBdr>
        <w:top w:val="none" w:sz="0" w:space="0" w:color="auto"/>
        <w:left w:val="none" w:sz="0" w:space="0" w:color="auto"/>
        <w:bottom w:val="none" w:sz="0" w:space="0" w:color="auto"/>
        <w:right w:val="none" w:sz="0" w:space="0" w:color="auto"/>
      </w:divBdr>
    </w:div>
    <w:div w:id="1581016549">
      <w:bodyDiv w:val="1"/>
      <w:marLeft w:val="0"/>
      <w:marRight w:val="0"/>
      <w:marTop w:val="0"/>
      <w:marBottom w:val="0"/>
      <w:divBdr>
        <w:top w:val="none" w:sz="0" w:space="0" w:color="auto"/>
        <w:left w:val="none" w:sz="0" w:space="0" w:color="auto"/>
        <w:bottom w:val="none" w:sz="0" w:space="0" w:color="auto"/>
        <w:right w:val="none" w:sz="0" w:space="0" w:color="auto"/>
      </w:divBdr>
    </w:div>
    <w:div w:id="1716732836">
      <w:bodyDiv w:val="1"/>
      <w:marLeft w:val="0"/>
      <w:marRight w:val="0"/>
      <w:marTop w:val="0"/>
      <w:marBottom w:val="0"/>
      <w:divBdr>
        <w:top w:val="none" w:sz="0" w:space="0" w:color="auto"/>
        <w:left w:val="none" w:sz="0" w:space="0" w:color="auto"/>
        <w:bottom w:val="none" w:sz="0" w:space="0" w:color="auto"/>
        <w:right w:val="none" w:sz="0" w:space="0" w:color="auto"/>
      </w:divBdr>
    </w:div>
    <w:div w:id="1742874727">
      <w:bodyDiv w:val="1"/>
      <w:marLeft w:val="0"/>
      <w:marRight w:val="0"/>
      <w:marTop w:val="0"/>
      <w:marBottom w:val="0"/>
      <w:divBdr>
        <w:top w:val="none" w:sz="0" w:space="0" w:color="auto"/>
        <w:left w:val="none" w:sz="0" w:space="0" w:color="auto"/>
        <w:bottom w:val="none" w:sz="0" w:space="0" w:color="auto"/>
        <w:right w:val="none" w:sz="0" w:space="0" w:color="auto"/>
      </w:divBdr>
    </w:div>
    <w:div w:id="1811824920">
      <w:bodyDiv w:val="1"/>
      <w:marLeft w:val="0"/>
      <w:marRight w:val="0"/>
      <w:marTop w:val="0"/>
      <w:marBottom w:val="0"/>
      <w:divBdr>
        <w:top w:val="none" w:sz="0" w:space="0" w:color="auto"/>
        <w:left w:val="none" w:sz="0" w:space="0" w:color="auto"/>
        <w:bottom w:val="none" w:sz="0" w:space="0" w:color="auto"/>
        <w:right w:val="none" w:sz="0" w:space="0" w:color="auto"/>
      </w:divBdr>
    </w:div>
    <w:div w:id="1869221779">
      <w:bodyDiv w:val="1"/>
      <w:marLeft w:val="0"/>
      <w:marRight w:val="0"/>
      <w:marTop w:val="0"/>
      <w:marBottom w:val="0"/>
      <w:divBdr>
        <w:top w:val="none" w:sz="0" w:space="0" w:color="auto"/>
        <w:left w:val="none" w:sz="0" w:space="0" w:color="auto"/>
        <w:bottom w:val="none" w:sz="0" w:space="0" w:color="auto"/>
        <w:right w:val="none" w:sz="0" w:space="0" w:color="auto"/>
      </w:divBdr>
    </w:div>
    <w:div w:id="1900365615">
      <w:bodyDiv w:val="1"/>
      <w:marLeft w:val="0"/>
      <w:marRight w:val="0"/>
      <w:marTop w:val="0"/>
      <w:marBottom w:val="0"/>
      <w:divBdr>
        <w:top w:val="none" w:sz="0" w:space="0" w:color="auto"/>
        <w:left w:val="none" w:sz="0" w:space="0" w:color="auto"/>
        <w:bottom w:val="none" w:sz="0" w:space="0" w:color="auto"/>
        <w:right w:val="none" w:sz="0" w:space="0" w:color="auto"/>
      </w:divBdr>
    </w:div>
    <w:div w:id="1919364645">
      <w:bodyDiv w:val="1"/>
      <w:marLeft w:val="0"/>
      <w:marRight w:val="0"/>
      <w:marTop w:val="0"/>
      <w:marBottom w:val="0"/>
      <w:divBdr>
        <w:top w:val="none" w:sz="0" w:space="0" w:color="auto"/>
        <w:left w:val="none" w:sz="0" w:space="0" w:color="auto"/>
        <w:bottom w:val="none" w:sz="0" w:space="0" w:color="auto"/>
        <w:right w:val="none" w:sz="0" w:space="0" w:color="auto"/>
      </w:divBdr>
    </w:div>
    <w:div w:id="1983460100">
      <w:bodyDiv w:val="1"/>
      <w:marLeft w:val="0"/>
      <w:marRight w:val="0"/>
      <w:marTop w:val="0"/>
      <w:marBottom w:val="0"/>
      <w:divBdr>
        <w:top w:val="none" w:sz="0" w:space="0" w:color="auto"/>
        <w:left w:val="none" w:sz="0" w:space="0" w:color="auto"/>
        <w:bottom w:val="none" w:sz="0" w:space="0" w:color="auto"/>
        <w:right w:val="none" w:sz="0" w:space="0" w:color="auto"/>
      </w:divBdr>
    </w:div>
    <w:div w:id="2010205450">
      <w:bodyDiv w:val="1"/>
      <w:marLeft w:val="0"/>
      <w:marRight w:val="0"/>
      <w:marTop w:val="0"/>
      <w:marBottom w:val="0"/>
      <w:divBdr>
        <w:top w:val="none" w:sz="0" w:space="0" w:color="auto"/>
        <w:left w:val="none" w:sz="0" w:space="0" w:color="auto"/>
        <w:bottom w:val="none" w:sz="0" w:space="0" w:color="auto"/>
        <w:right w:val="none" w:sz="0" w:space="0" w:color="auto"/>
      </w:divBdr>
    </w:div>
    <w:div w:id="2029987418">
      <w:bodyDiv w:val="1"/>
      <w:marLeft w:val="0"/>
      <w:marRight w:val="0"/>
      <w:marTop w:val="0"/>
      <w:marBottom w:val="0"/>
      <w:divBdr>
        <w:top w:val="none" w:sz="0" w:space="0" w:color="auto"/>
        <w:left w:val="none" w:sz="0" w:space="0" w:color="auto"/>
        <w:bottom w:val="none" w:sz="0" w:space="0" w:color="auto"/>
        <w:right w:val="none" w:sz="0" w:space="0" w:color="auto"/>
      </w:divBdr>
    </w:div>
    <w:div w:id="2041124874">
      <w:bodyDiv w:val="1"/>
      <w:marLeft w:val="0"/>
      <w:marRight w:val="0"/>
      <w:marTop w:val="0"/>
      <w:marBottom w:val="0"/>
      <w:divBdr>
        <w:top w:val="none" w:sz="0" w:space="0" w:color="auto"/>
        <w:left w:val="none" w:sz="0" w:space="0" w:color="auto"/>
        <w:bottom w:val="none" w:sz="0" w:space="0" w:color="auto"/>
        <w:right w:val="none" w:sz="0" w:space="0" w:color="auto"/>
      </w:divBdr>
    </w:div>
    <w:div w:id="2104720157">
      <w:bodyDiv w:val="1"/>
      <w:marLeft w:val="0"/>
      <w:marRight w:val="0"/>
      <w:marTop w:val="0"/>
      <w:marBottom w:val="0"/>
      <w:divBdr>
        <w:top w:val="none" w:sz="0" w:space="0" w:color="auto"/>
        <w:left w:val="none" w:sz="0" w:space="0" w:color="auto"/>
        <w:bottom w:val="none" w:sz="0" w:space="0" w:color="auto"/>
        <w:right w:val="none" w:sz="0" w:space="0" w:color="auto"/>
      </w:divBdr>
    </w:div>
    <w:div w:id="2117869764">
      <w:bodyDiv w:val="1"/>
      <w:marLeft w:val="0"/>
      <w:marRight w:val="0"/>
      <w:marTop w:val="0"/>
      <w:marBottom w:val="0"/>
      <w:divBdr>
        <w:top w:val="none" w:sz="0" w:space="0" w:color="auto"/>
        <w:left w:val="none" w:sz="0" w:space="0" w:color="auto"/>
        <w:bottom w:val="none" w:sz="0" w:space="0" w:color="auto"/>
        <w:right w:val="none" w:sz="0" w:space="0" w:color="auto"/>
      </w:divBdr>
    </w:div>
    <w:div w:id="213413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ndby.dk/Kommune/okonomi/Befolkningsprognose.aspx" TargetMode="External"/><Relationship Id="rId13" Type="http://schemas.openxmlformats.org/officeDocument/2006/relationships/chart" Target="charts/chart5.xml"/><Relationship Id="rId18" Type="http://schemas.openxmlformats.org/officeDocument/2006/relationships/image" Target="media/image3.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png"/><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7.jpeg"/><Relationship Id="rId28"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chart" Target="charts/chart8.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19%20til%202029\Figur%208.%202019%20-%20Fertilitetsprofiler%20for%20kvinder%20mellem%2015-49%20&#229;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2020%20-%20Samlet%20fertilitet%20i%20Region,%20Land%20og%20BK%202015-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f&#248;dte%20og%20d&#248;de%20m.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20Forblivelsesrater%202020%20til%20203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f&#248;dte%20og%20d&#248;de%20m.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19%20til%202029\Figur%20%202019%20-%20Til-%20og%20fraflytninger%20efter%20alder%20m.m..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Udkast%20boligprogram%202019-2029%20nyt%20scenarie%20Kirkebjerg_rev%202701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79608318190995E-2"/>
          <c:y val="3.4318533618398296E-2"/>
          <c:w val="0.93848230509647834"/>
          <c:h val="0.75391213147939462"/>
        </c:manualLayout>
      </c:layout>
      <c:lineChart>
        <c:grouping val="standard"/>
        <c:varyColors val="0"/>
        <c:ser>
          <c:idx val="0"/>
          <c:order val="0"/>
          <c:tx>
            <c:strRef>
              <c:f>Kvinder!$B$4</c:f>
              <c:strCache>
                <c:ptCount val="1"/>
                <c:pt idx="0">
                  <c:v>Hele landet</c:v>
                </c:pt>
              </c:strCache>
            </c:strRef>
          </c:tx>
          <c:marker>
            <c:symbol val="none"/>
          </c:marker>
          <c:cat>
            <c:strRef>
              <c:f>Kvinder!$C$4:$C$38</c:f>
              <c:strCache>
                <c:ptCount val="35"/>
                <c:pt idx="0">
                  <c:v>15 år</c:v>
                </c:pt>
                <c:pt idx="1">
                  <c:v>16 år</c:v>
                </c:pt>
                <c:pt idx="2">
                  <c:v>17 år</c:v>
                </c:pt>
                <c:pt idx="3">
                  <c:v>18 år</c:v>
                </c:pt>
                <c:pt idx="4">
                  <c:v>19 år</c:v>
                </c:pt>
                <c:pt idx="5">
                  <c:v>20 år</c:v>
                </c:pt>
                <c:pt idx="6">
                  <c:v>21 år</c:v>
                </c:pt>
                <c:pt idx="7">
                  <c:v>22 år</c:v>
                </c:pt>
                <c:pt idx="8">
                  <c:v>23 år</c:v>
                </c:pt>
                <c:pt idx="9">
                  <c:v>24 år</c:v>
                </c:pt>
                <c:pt idx="10">
                  <c:v>25 år</c:v>
                </c:pt>
                <c:pt idx="11">
                  <c:v>26 år</c:v>
                </c:pt>
                <c:pt idx="12">
                  <c:v>27 år</c:v>
                </c:pt>
                <c:pt idx="13">
                  <c:v>28 år</c:v>
                </c:pt>
                <c:pt idx="14">
                  <c:v>29 år</c:v>
                </c:pt>
                <c:pt idx="15">
                  <c:v>30 år</c:v>
                </c:pt>
                <c:pt idx="16">
                  <c:v>31 år</c:v>
                </c:pt>
                <c:pt idx="17">
                  <c:v>32 år</c:v>
                </c:pt>
                <c:pt idx="18">
                  <c:v>33 år</c:v>
                </c:pt>
                <c:pt idx="19">
                  <c:v>34 år</c:v>
                </c:pt>
                <c:pt idx="20">
                  <c:v>35 år</c:v>
                </c:pt>
                <c:pt idx="21">
                  <c:v>36 år</c:v>
                </c:pt>
                <c:pt idx="22">
                  <c:v>37 år</c:v>
                </c:pt>
                <c:pt idx="23">
                  <c:v>38 år</c:v>
                </c:pt>
                <c:pt idx="24">
                  <c:v>39 år</c:v>
                </c:pt>
                <c:pt idx="25">
                  <c:v>40 år</c:v>
                </c:pt>
                <c:pt idx="26">
                  <c:v>41 år</c:v>
                </c:pt>
                <c:pt idx="27">
                  <c:v>42 år</c:v>
                </c:pt>
                <c:pt idx="28">
                  <c:v>43 år</c:v>
                </c:pt>
                <c:pt idx="29">
                  <c:v>44 år</c:v>
                </c:pt>
                <c:pt idx="30">
                  <c:v>45 år</c:v>
                </c:pt>
                <c:pt idx="31">
                  <c:v>46 år</c:v>
                </c:pt>
                <c:pt idx="32">
                  <c:v>47 år</c:v>
                </c:pt>
                <c:pt idx="33">
                  <c:v>48 år</c:v>
                </c:pt>
                <c:pt idx="34">
                  <c:v>49 år</c:v>
                </c:pt>
              </c:strCache>
            </c:strRef>
          </c:cat>
          <c:val>
            <c:numRef>
              <c:f>Kvinder!$L$4:$L$38</c:f>
              <c:numCache>
                <c:formatCode>General</c:formatCode>
                <c:ptCount val="35"/>
                <c:pt idx="0">
                  <c:v>0.16331171973289463</c:v>
                </c:pt>
                <c:pt idx="1">
                  <c:v>0.39507473497069862</c:v>
                </c:pt>
                <c:pt idx="2">
                  <c:v>1.1589413813392606</c:v>
                </c:pt>
                <c:pt idx="3">
                  <c:v>3.7770548284029868</c:v>
                </c:pt>
                <c:pt idx="4">
                  <c:v>8.3505049010120782</c:v>
                </c:pt>
                <c:pt idx="5">
                  <c:v>13.566579522103519</c:v>
                </c:pt>
                <c:pt idx="6">
                  <c:v>20.663429907234054</c:v>
                </c:pt>
                <c:pt idx="7">
                  <c:v>29.48455323441026</c:v>
                </c:pt>
                <c:pt idx="8">
                  <c:v>40.973697612568358</c:v>
                </c:pt>
                <c:pt idx="9">
                  <c:v>56.081785298264975</c:v>
                </c:pt>
                <c:pt idx="10">
                  <c:v>74.623477269326614</c:v>
                </c:pt>
                <c:pt idx="11">
                  <c:v>94.353019797844809</c:v>
                </c:pt>
                <c:pt idx="12">
                  <c:v>111.7594398439748</c:v>
                </c:pt>
                <c:pt idx="13">
                  <c:v>129.44252487704762</c:v>
                </c:pt>
                <c:pt idx="14">
                  <c:v>139.78886261501046</c:v>
                </c:pt>
                <c:pt idx="15">
                  <c:v>140.73360520987757</c:v>
                </c:pt>
                <c:pt idx="16">
                  <c:v>139.82731059728187</c:v>
                </c:pt>
                <c:pt idx="17">
                  <c:v>131.82122632892896</c:v>
                </c:pt>
                <c:pt idx="18">
                  <c:v>117.71057648997019</c:v>
                </c:pt>
                <c:pt idx="19">
                  <c:v>103.0454579383444</c:v>
                </c:pt>
                <c:pt idx="20">
                  <c:v>90.431209471924191</c:v>
                </c:pt>
                <c:pt idx="21">
                  <c:v>72.797818919296375</c:v>
                </c:pt>
                <c:pt idx="22">
                  <c:v>59.770878299850573</c:v>
                </c:pt>
                <c:pt idx="23">
                  <c:v>46.039410760780285</c:v>
                </c:pt>
                <c:pt idx="24">
                  <c:v>35.580767947332994</c:v>
                </c:pt>
                <c:pt idx="25">
                  <c:v>25.660887336014241</c:v>
                </c:pt>
                <c:pt idx="26">
                  <c:v>16.628468066148884</c:v>
                </c:pt>
                <c:pt idx="27">
                  <c:v>9.941018031931435</c:v>
                </c:pt>
                <c:pt idx="28">
                  <c:v>5.6727712101741252</c:v>
                </c:pt>
                <c:pt idx="29">
                  <c:v>3.1459646269566988</c:v>
                </c:pt>
                <c:pt idx="30">
                  <c:v>1.5671171701756095</c:v>
                </c:pt>
                <c:pt idx="31">
                  <c:v>0.98334997992112605</c:v>
                </c:pt>
                <c:pt idx="32">
                  <c:v>0.4418844831749914</c:v>
                </c:pt>
                <c:pt idx="33">
                  <c:v>0.24941336957462301</c:v>
                </c:pt>
                <c:pt idx="34">
                  <c:v>0.17869374869702476</c:v>
                </c:pt>
              </c:numCache>
            </c:numRef>
          </c:val>
          <c:smooth val="1"/>
          <c:extLst>
            <c:ext xmlns:c16="http://schemas.microsoft.com/office/drawing/2014/chart" uri="{C3380CC4-5D6E-409C-BE32-E72D297353CC}">
              <c16:uniqueId val="{00000000-A899-4F28-A5C6-962A653B83BB}"/>
            </c:ext>
          </c:extLst>
        </c:ser>
        <c:ser>
          <c:idx val="1"/>
          <c:order val="1"/>
          <c:tx>
            <c:strRef>
              <c:f>Kvinder!$B$39</c:f>
              <c:strCache>
                <c:ptCount val="1"/>
                <c:pt idx="0">
                  <c:v>Region Hovedstaden</c:v>
                </c:pt>
              </c:strCache>
            </c:strRef>
          </c:tx>
          <c:marker>
            <c:symbol val="none"/>
          </c:marker>
          <c:val>
            <c:numRef>
              <c:f>Kvinder!$L$39:$L$73</c:f>
              <c:numCache>
                <c:formatCode>General</c:formatCode>
                <c:ptCount val="35"/>
                <c:pt idx="0">
                  <c:v>8.4012433840208359E-2</c:v>
                </c:pt>
                <c:pt idx="1">
                  <c:v>0.20913501756734149</c:v>
                </c:pt>
                <c:pt idx="2">
                  <c:v>0.95839323291039025</c:v>
                </c:pt>
                <c:pt idx="3">
                  <c:v>2.2039017223083834</c:v>
                </c:pt>
                <c:pt idx="4">
                  <c:v>5.3527791784647611</c:v>
                </c:pt>
                <c:pt idx="5">
                  <c:v>8.8026424442609414</c:v>
                </c:pt>
                <c:pt idx="6">
                  <c:v>12.961911920357103</c:v>
                </c:pt>
                <c:pt idx="7">
                  <c:v>19.35787805678882</c:v>
                </c:pt>
                <c:pt idx="8">
                  <c:v>26.193683580302348</c:v>
                </c:pt>
                <c:pt idx="9">
                  <c:v>37.451858838324291</c:v>
                </c:pt>
                <c:pt idx="10">
                  <c:v>50.540168166776112</c:v>
                </c:pt>
                <c:pt idx="11">
                  <c:v>66.352838562376533</c:v>
                </c:pt>
                <c:pt idx="12">
                  <c:v>82.556297239032759</c:v>
                </c:pt>
                <c:pt idx="13">
                  <c:v>101.16411657076185</c:v>
                </c:pt>
                <c:pt idx="14">
                  <c:v>119.73073923572632</c:v>
                </c:pt>
                <c:pt idx="15">
                  <c:v>128.31858407079645</c:v>
                </c:pt>
                <c:pt idx="16">
                  <c:v>135.68094782192438</c:v>
                </c:pt>
                <c:pt idx="17">
                  <c:v>136.70041022601424</c:v>
                </c:pt>
                <c:pt idx="18">
                  <c:v>127.02999386562489</c:v>
                </c:pt>
                <c:pt idx="19">
                  <c:v>115.49899486634213</c:v>
                </c:pt>
                <c:pt idx="20">
                  <c:v>106.83989941324391</c:v>
                </c:pt>
                <c:pt idx="21">
                  <c:v>87.167070217917669</c:v>
                </c:pt>
                <c:pt idx="22">
                  <c:v>76.100691673317385</c:v>
                </c:pt>
                <c:pt idx="23">
                  <c:v>61.364125842845539</c:v>
                </c:pt>
                <c:pt idx="24">
                  <c:v>50.054924335579493</c:v>
                </c:pt>
                <c:pt idx="25">
                  <c:v>36.437377801476885</c:v>
                </c:pt>
                <c:pt idx="26">
                  <c:v>24.85870294089472</c:v>
                </c:pt>
                <c:pt idx="27">
                  <c:v>15.064300778586492</c:v>
                </c:pt>
                <c:pt idx="28">
                  <c:v>8.8492817748418648</c:v>
                </c:pt>
                <c:pt idx="29">
                  <c:v>4.9681289838770155</c:v>
                </c:pt>
                <c:pt idx="30">
                  <c:v>2.375865038109513</c:v>
                </c:pt>
                <c:pt idx="31">
                  <c:v>1.5980953312786395</c:v>
                </c:pt>
                <c:pt idx="32">
                  <c:v>0.70735318308932393</c:v>
                </c:pt>
                <c:pt idx="33">
                  <c:v>0.492174426616793</c:v>
                </c:pt>
                <c:pt idx="34">
                  <c:v>0.35306201052766728</c:v>
                </c:pt>
              </c:numCache>
            </c:numRef>
          </c:val>
          <c:smooth val="1"/>
          <c:extLst>
            <c:ext xmlns:c16="http://schemas.microsoft.com/office/drawing/2014/chart" uri="{C3380CC4-5D6E-409C-BE32-E72D297353CC}">
              <c16:uniqueId val="{00000001-A899-4F28-A5C6-962A653B83BB}"/>
            </c:ext>
          </c:extLst>
        </c:ser>
        <c:ser>
          <c:idx val="2"/>
          <c:order val="2"/>
          <c:tx>
            <c:strRef>
              <c:f>Kvinder!$B$74</c:f>
              <c:strCache>
                <c:ptCount val="1"/>
                <c:pt idx="0">
                  <c:v>Brøndby</c:v>
                </c:pt>
              </c:strCache>
            </c:strRef>
          </c:tx>
          <c:marker>
            <c:symbol val="none"/>
          </c:marker>
          <c:val>
            <c:numRef>
              <c:f>Kvinder!$L$74:$L$108</c:f>
              <c:numCache>
                <c:formatCode>General</c:formatCode>
                <c:ptCount val="35"/>
                <c:pt idx="0" formatCode="0">
                  <c:v>0</c:v>
                </c:pt>
                <c:pt idx="1">
                  <c:v>0</c:v>
                </c:pt>
                <c:pt idx="2">
                  <c:v>2.9910269192422732</c:v>
                </c:pt>
                <c:pt idx="3">
                  <c:v>4.0040040040040044</c:v>
                </c:pt>
                <c:pt idx="4">
                  <c:v>9.0817356205852686</c:v>
                </c:pt>
                <c:pt idx="5">
                  <c:v>14.14141414141414</c:v>
                </c:pt>
                <c:pt idx="6">
                  <c:v>29.978586723768732</c:v>
                </c:pt>
                <c:pt idx="7">
                  <c:v>43.343653250773997</c:v>
                </c:pt>
                <c:pt idx="8">
                  <c:v>65.671641791044763</c:v>
                </c:pt>
                <c:pt idx="9">
                  <c:v>78.260869565217391</c:v>
                </c:pt>
                <c:pt idx="10">
                  <c:v>101.48975791433891</c:v>
                </c:pt>
                <c:pt idx="11">
                  <c:v>113.06765523632991</c:v>
                </c:pt>
                <c:pt idx="12">
                  <c:v>143.86584289496912</c:v>
                </c:pt>
                <c:pt idx="13">
                  <c:v>136.98630136986301</c:v>
                </c:pt>
                <c:pt idx="14">
                  <c:v>137.90186125211505</c:v>
                </c:pt>
                <c:pt idx="15">
                  <c:v>139.78494623655914</c:v>
                </c:pt>
                <c:pt idx="16">
                  <c:v>139.17050691244239</c:v>
                </c:pt>
                <c:pt idx="17">
                  <c:v>130.59360730593608</c:v>
                </c:pt>
                <c:pt idx="18">
                  <c:v>105.55555555555556</c:v>
                </c:pt>
                <c:pt idx="19">
                  <c:v>91.588785046728987</c:v>
                </c:pt>
                <c:pt idx="20">
                  <c:v>83.179297597042506</c:v>
                </c:pt>
                <c:pt idx="21">
                  <c:v>64.365671641791039</c:v>
                </c:pt>
                <c:pt idx="22">
                  <c:v>51.166965888689411</c:v>
                </c:pt>
                <c:pt idx="23">
                  <c:v>40.816326530612237</c:v>
                </c:pt>
                <c:pt idx="24">
                  <c:v>40.744021257750219</c:v>
                </c:pt>
                <c:pt idx="25">
                  <c:v>31.331592689295039</c:v>
                </c:pt>
                <c:pt idx="26">
                  <c:v>17.632241813602015</c:v>
                </c:pt>
                <c:pt idx="27">
                  <c:v>5.2128583840139013</c:v>
                </c:pt>
                <c:pt idx="28">
                  <c:v>4.3554006968641117</c:v>
                </c:pt>
                <c:pt idx="29">
                  <c:v>2.6408450704225355</c:v>
                </c:pt>
                <c:pt idx="30">
                  <c:v>0</c:v>
                </c:pt>
                <c:pt idx="31">
                  <c:v>0.87950747581354438</c:v>
                </c:pt>
                <c:pt idx="32">
                  <c:v>0</c:v>
                </c:pt>
                <c:pt idx="33">
                  <c:v>0</c:v>
                </c:pt>
                <c:pt idx="34">
                  <c:v>0</c:v>
                </c:pt>
              </c:numCache>
            </c:numRef>
          </c:val>
          <c:smooth val="1"/>
          <c:extLst>
            <c:ext xmlns:c16="http://schemas.microsoft.com/office/drawing/2014/chart" uri="{C3380CC4-5D6E-409C-BE32-E72D297353CC}">
              <c16:uniqueId val="{00000002-A899-4F28-A5C6-962A653B83BB}"/>
            </c:ext>
          </c:extLst>
        </c:ser>
        <c:dLbls>
          <c:showLegendKey val="0"/>
          <c:showVal val="0"/>
          <c:showCatName val="0"/>
          <c:showSerName val="0"/>
          <c:showPercent val="0"/>
          <c:showBubbleSize val="0"/>
        </c:dLbls>
        <c:smooth val="0"/>
        <c:axId val="45396736"/>
        <c:axId val="45399040"/>
      </c:lineChart>
      <c:catAx>
        <c:axId val="45396736"/>
        <c:scaling>
          <c:orientation val="minMax"/>
        </c:scaling>
        <c:delete val="0"/>
        <c:axPos val="b"/>
        <c:numFmt formatCode="General" sourceLinked="0"/>
        <c:majorTickMark val="none"/>
        <c:minorTickMark val="none"/>
        <c:tickLblPos val="nextTo"/>
        <c:crossAx val="45399040"/>
        <c:crosses val="autoZero"/>
        <c:auto val="1"/>
        <c:lblAlgn val="ctr"/>
        <c:lblOffset val="100"/>
        <c:noMultiLvlLbl val="0"/>
      </c:catAx>
      <c:valAx>
        <c:axId val="45399040"/>
        <c:scaling>
          <c:orientation val="minMax"/>
          <c:min val="0"/>
        </c:scaling>
        <c:delete val="0"/>
        <c:axPos val="l"/>
        <c:majorGridlines/>
        <c:numFmt formatCode="General" sourceLinked="1"/>
        <c:majorTickMark val="none"/>
        <c:minorTickMark val="none"/>
        <c:tickLblPos val="nextTo"/>
        <c:spPr>
          <a:ln w="9525">
            <a:noFill/>
          </a:ln>
        </c:spPr>
        <c:crossAx val="45396736"/>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FERT1!$A$4</c:f>
              <c:strCache>
                <c:ptCount val="1"/>
                <c:pt idx="0">
                  <c:v>Hele landet</c:v>
                </c:pt>
              </c:strCache>
            </c:strRef>
          </c:tx>
          <c:marker>
            <c:symbol val="none"/>
          </c:marker>
          <c:cat>
            <c:strRef>
              <c:f>FERT1!$B$3:$AI$3</c:f>
              <c:strCach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strCache>
            </c:strRef>
          </c:cat>
          <c:val>
            <c:numRef>
              <c:f>FERT1!$B$4:$AI$4</c:f>
              <c:numCache>
                <c:formatCode>0</c:formatCode>
                <c:ptCount val="34"/>
                <c:pt idx="0">
                  <c:v>1481.9</c:v>
                </c:pt>
                <c:pt idx="1">
                  <c:v>1497.7</c:v>
                </c:pt>
                <c:pt idx="2">
                  <c:v>1561.8</c:v>
                </c:pt>
                <c:pt idx="3">
                  <c:v>1621.2</c:v>
                </c:pt>
                <c:pt idx="4">
                  <c:v>1669.6</c:v>
                </c:pt>
                <c:pt idx="5">
                  <c:v>1684.4</c:v>
                </c:pt>
                <c:pt idx="6">
                  <c:v>1764.8</c:v>
                </c:pt>
                <c:pt idx="7">
                  <c:v>1751.2</c:v>
                </c:pt>
                <c:pt idx="8">
                  <c:v>1809.1</c:v>
                </c:pt>
                <c:pt idx="9">
                  <c:v>1809.7</c:v>
                </c:pt>
                <c:pt idx="10">
                  <c:v>1753.5</c:v>
                </c:pt>
                <c:pt idx="11">
                  <c:v>1756.2</c:v>
                </c:pt>
                <c:pt idx="12">
                  <c:v>1725.2</c:v>
                </c:pt>
                <c:pt idx="13">
                  <c:v>1738.3</c:v>
                </c:pt>
                <c:pt idx="14">
                  <c:v>1774.2</c:v>
                </c:pt>
                <c:pt idx="15">
                  <c:v>1745</c:v>
                </c:pt>
                <c:pt idx="16">
                  <c:v>1724.9</c:v>
                </c:pt>
                <c:pt idx="17">
                  <c:v>1759.9</c:v>
                </c:pt>
                <c:pt idx="18">
                  <c:v>1785.2</c:v>
                </c:pt>
                <c:pt idx="19">
                  <c:v>1802.1</c:v>
                </c:pt>
                <c:pt idx="20" formatCode="General">
                  <c:v>1847.6</c:v>
                </c:pt>
                <c:pt idx="21" formatCode="General">
                  <c:v>1843.5</c:v>
                </c:pt>
                <c:pt idx="22" formatCode="General">
                  <c:v>1888.8</c:v>
                </c:pt>
                <c:pt idx="23" formatCode="General">
                  <c:v>1839.6</c:v>
                </c:pt>
                <c:pt idx="24" formatCode="General">
                  <c:v>1871.2</c:v>
                </c:pt>
                <c:pt idx="25" formatCode="General">
                  <c:v>1752.4</c:v>
                </c:pt>
                <c:pt idx="26" formatCode="General">
                  <c:v>1729.2</c:v>
                </c:pt>
                <c:pt idx="27" formatCode="General">
                  <c:v>1668.7</c:v>
                </c:pt>
                <c:pt idx="28" formatCode="General">
                  <c:v>1691.2</c:v>
                </c:pt>
                <c:pt idx="29" formatCode="General">
                  <c:v>1713.6</c:v>
                </c:pt>
                <c:pt idx="30" formatCode="General">
                  <c:v>1785.4</c:v>
                </c:pt>
                <c:pt idx="31" formatCode="General">
                  <c:v>1751.9</c:v>
                </c:pt>
                <c:pt idx="32" formatCode="General">
                  <c:v>1729.7</c:v>
                </c:pt>
                <c:pt idx="33" formatCode="General">
                  <c:v>1699.4</c:v>
                </c:pt>
              </c:numCache>
            </c:numRef>
          </c:val>
          <c:smooth val="1"/>
          <c:extLst>
            <c:ext xmlns:c16="http://schemas.microsoft.com/office/drawing/2014/chart" uri="{C3380CC4-5D6E-409C-BE32-E72D297353CC}">
              <c16:uniqueId val="{00000000-1453-42E3-BC1D-A6A3BE8C4DA7}"/>
            </c:ext>
          </c:extLst>
        </c:ser>
        <c:ser>
          <c:idx val="1"/>
          <c:order val="1"/>
          <c:tx>
            <c:strRef>
              <c:f>FERT1!$A$5</c:f>
              <c:strCache>
                <c:ptCount val="1"/>
                <c:pt idx="0">
                  <c:v>Region Hovedstaden</c:v>
                </c:pt>
              </c:strCache>
            </c:strRef>
          </c:tx>
          <c:spPr>
            <a:ln>
              <a:solidFill>
                <a:srgbClr val="FFCC00"/>
              </a:solidFill>
            </a:ln>
          </c:spPr>
          <c:marker>
            <c:symbol val="none"/>
          </c:marker>
          <c:cat>
            <c:strRef>
              <c:f>FERT1!$B$3:$AI$3</c:f>
              <c:strCach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strCache>
            </c:strRef>
          </c:cat>
          <c:val>
            <c:numRef>
              <c:f>FERT1!$B$5:$AI$5</c:f>
              <c:numCache>
                <c:formatCode>General</c:formatCode>
                <c:ptCount val="34"/>
                <c:pt idx="20">
                  <c:v>1706.2</c:v>
                </c:pt>
                <c:pt idx="21">
                  <c:v>1721.9</c:v>
                </c:pt>
                <c:pt idx="22">
                  <c:v>1732.4</c:v>
                </c:pt>
                <c:pt idx="23">
                  <c:v>1713.9</c:v>
                </c:pt>
                <c:pt idx="24">
                  <c:v>1760.9</c:v>
                </c:pt>
                <c:pt idx="25">
                  <c:v>1643.2</c:v>
                </c:pt>
                <c:pt idx="26">
                  <c:v>1646.5</c:v>
                </c:pt>
                <c:pt idx="27">
                  <c:v>1584.2</c:v>
                </c:pt>
                <c:pt idx="28">
                  <c:v>1630.1</c:v>
                </c:pt>
                <c:pt idx="29">
                  <c:v>1634.6</c:v>
                </c:pt>
                <c:pt idx="30">
                  <c:v>1702.3</c:v>
                </c:pt>
                <c:pt idx="31">
                  <c:v>1672.2</c:v>
                </c:pt>
                <c:pt idx="32">
                  <c:v>1652.5</c:v>
                </c:pt>
                <c:pt idx="33">
                  <c:v>1655.1</c:v>
                </c:pt>
              </c:numCache>
            </c:numRef>
          </c:val>
          <c:smooth val="1"/>
          <c:extLst>
            <c:ext xmlns:c16="http://schemas.microsoft.com/office/drawing/2014/chart" uri="{C3380CC4-5D6E-409C-BE32-E72D297353CC}">
              <c16:uniqueId val="{00000001-1453-42E3-BC1D-A6A3BE8C4DA7}"/>
            </c:ext>
          </c:extLst>
        </c:ser>
        <c:ser>
          <c:idx val="2"/>
          <c:order val="2"/>
          <c:tx>
            <c:strRef>
              <c:f>FERT1!$A$6</c:f>
              <c:strCache>
                <c:ptCount val="1"/>
                <c:pt idx="0">
                  <c:v>Brøndby Kommune</c:v>
                </c:pt>
              </c:strCache>
            </c:strRef>
          </c:tx>
          <c:marker>
            <c:symbol val="none"/>
          </c:marker>
          <c:cat>
            <c:strRef>
              <c:f>FERT1!$B$3:$AI$3</c:f>
              <c:strCach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strCache>
            </c:strRef>
          </c:cat>
          <c:val>
            <c:numRef>
              <c:f>FERT1!$B$6:$AI$6</c:f>
              <c:numCache>
                <c:formatCode>General</c:formatCode>
                <c:ptCount val="34"/>
                <c:pt idx="0">
                  <c:v>1444.5</c:v>
                </c:pt>
                <c:pt idx="1">
                  <c:v>1591.5</c:v>
                </c:pt>
                <c:pt idx="2">
                  <c:v>1457</c:v>
                </c:pt>
                <c:pt idx="3">
                  <c:v>1736</c:v>
                </c:pt>
                <c:pt idx="4">
                  <c:v>1669</c:v>
                </c:pt>
                <c:pt idx="5">
                  <c:v>1837.9</c:v>
                </c:pt>
                <c:pt idx="6">
                  <c:v>1958.2</c:v>
                </c:pt>
                <c:pt idx="7">
                  <c:v>1828.3</c:v>
                </c:pt>
                <c:pt idx="8">
                  <c:v>2065.1</c:v>
                </c:pt>
                <c:pt idx="9">
                  <c:v>1969.5</c:v>
                </c:pt>
                <c:pt idx="10">
                  <c:v>1801.5</c:v>
                </c:pt>
                <c:pt idx="11">
                  <c:v>2028</c:v>
                </c:pt>
                <c:pt idx="12">
                  <c:v>1935.3</c:v>
                </c:pt>
                <c:pt idx="13">
                  <c:v>1972.1</c:v>
                </c:pt>
                <c:pt idx="14">
                  <c:v>1996.7</c:v>
                </c:pt>
                <c:pt idx="15">
                  <c:v>1737</c:v>
                </c:pt>
                <c:pt idx="16">
                  <c:v>1885.9</c:v>
                </c:pt>
                <c:pt idx="17">
                  <c:v>1896.9</c:v>
                </c:pt>
                <c:pt idx="18">
                  <c:v>1745.6</c:v>
                </c:pt>
                <c:pt idx="19">
                  <c:v>1887.6</c:v>
                </c:pt>
                <c:pt idx="20">
                  <c:v>1987.7</c:v>
                </c:pt>
                <c:pt idx="21">
                  <c:v>2015.5</c:v>
                </c:pt>
                <c:pt idx="22">
                  <c:v>1947.9</c:v>
                </c:pt>
                <c:pt idx="23">
                  <c:v>1890.9</c:v>
                </c:pt>
                <c:pt idx="24">
                  <c:v>1941.1</c:v>
                </c:pt>
                <c:pt idx="25">
                  <c:v>1825.7</c:v>
                </c:pt>
                <c:pt idx="26">
                  <c:v>1800.7</c:v>
                </c:pt>
                <c:pt idx="27">
                  <c:v>1823.3</c:v>
                </c:pt>
                <c:pt idx="28">
                  <c:v>1917</c:v>
                </c:pt>
                <c:pt idx="29">
                  <c:v>1860.6</c:v>
                </c:pt>
                <c:pt idx="30">
                  <c:v>1946.3</c:v>
                </c:pt>
                <c:pt idx="31">
                  <c:v>1740</c:v>
                </c:pt>
                <c:pt idx="32">
                  <c:v>1839.7</c:v>
                </c:pt>
                <c:pt idx="33">
                  <c:v>1786.3</c:v>
                </c:pt>
              </c:numCache>
            </c:numRef>
          </c:val>
          <c:smooth val="1"/>
          <c:extLst>
            <c:ext xmlns:c16="http://schemas.microsoft.com/office/drawing/2014/chart" uri="{C3380CC4-5D6E-409C-BE32-E72D297353CC}">
              <c16:uniqueId val="{00000002-1453-42E3-BC1D-A6A3BE8C4DA7}"/>
            </c:ext>
          </c:extLst>
        </c:ser>
        <c:ser>
          <c:idx val="3"/>
          <c:order val="3"/>
          <c:tx>
            <c:strRef>
              <c:f>FERT1!$A$7</c:f>
              <c:strCache>
                <c:ptCount val="1"/>
                <c:pt idx="0">
                  <c:v>Hele landet, gennemsnit for alle år</c:v>
                </c:pt>
              </c:strCache>
            </c:strRef>
          </c:tx>
          <c:spPr>
            <a:ln w="63500" cmpd="dbl">
              <a:solidFill>
                <a:schemeClr val="tx1"/>
              </a:solidFill>
            </a:ln>
          </c:spPr>
          <c:marker>
            <c:symbol val="none"/>
          </c:marker>
          <c:cat>
            <c:strRef>
              <c:f>FERT1!$B$3:$AI$3</c:f>
              <c:strCach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strCache>
            </c:strRef>
          </c:cat>
          <c:val>
            <c:numRef>
              <c:f>FERT1!$B$7:$AI$7</c:f>
              <c:numCache>
                <c:formatCode>0</c:formatCode>
                <c:ptCount val="34"/>
                <c:pt idx="0">
                  <c:v>1736.120588235294</c:v>
                </c:pt>
                <c:pt idx="1">
                  <c:v>1736.120588235294</c:v>
                </c:pt>
                <c:pt idx="2">
                  <c:v>1736.120588235294</c:v>
                </c:pt>
                <c:pt idx="3">
                  <c:v>1736.120588235294</c:v>
                </c:pt>
                <c:pt idx="4">
                  <c:v>1736.120588235294</c:v>
                </c:pt>
                <c:pt idx="5">
                  <c:v>1736.120588235294</c:v>
                </c:pt>
                <c:pt idx="6">
                  <c:v>1736.120588235294</c:v>
                </c:pt>
                <c:pt idx="7">
                  <c:v>1736.120588235294</c:v>
                </c:pt>
                <c:pt idx="8">
                  <c:v>1736.120588235294</c:v>
                </c:pt>
                <c:pt idx="9">
                  <c:v>1736.120588235294</c:v>
                </c:pt>
                <c:pt idx="10">
                  <c:v>1736.120588235294</c:v>
                </c:pt>
                <c:pt idx="11">
                  <c:v>1736.120588235294</c:v>
                </c:pt>
                <c:pt idx="12">
                  <c:v>1736.120588235294</c:v>
                </c:pt>
                <c:pt idx="13">
                  <c:v>1736.120588235294</c:v>
                </c:pt>
                <c:pt idx="14">
                  <c:v>1736.120588235294</c:v>
                </c:pt>
                <c:pt idx="15">
                  <c:v>1736.120588235294</c:v>
                </c:pt>
                <c:pt idx="16">
                  <c:v>1736.120588235294</c:v>
                </c:pt>
                <c:pt idx="17">
                  <c:v>1736.120588235294</c:v>
                </c:pt>
                <c:pt idx="18">
                  <c:v>1736.120588235294</c:v>
                </c:pt>
                <c:pt idx="19">
                  <c:v>1736.120588235294</c:v>
                </c:pt>
                <c:pt idx="20">
                  <c:v>1736.120588235294</c:v>
                </c:pt>
                <c:pt idx="21">
                  <c:v>1736.120588235294</c:v>
                </c:pt>
                <c:pt idx="22">
                  <c:v>1736.120588235294</c:v>
                </c:pt>
                <c:pt idx="23">
                  <c:v>1736.120588235294</c:v>
                </c:pt>
                <c:pt idx="24">
                  <c:v>1736.120588235294</c:v>
                </c:pt>
                <c:pt idx="25">
                  <c:v>1736.120588235294</c:v>
                </c:pt>
                <c:pt idx="26">
                  <c:v>1736.120588235294</c:v>
                </c:pt>
                <c:pt idx="27">
                  <c:v>1736.120588235294</c:v>
                </c:pt>
                <c:pt idx="28">
                  <c:v>1736.120588235294</c:v>
                </c:pt>
                <c:pt idx="29">
                  <c:v>1736.120588235294</c:v>
                </c:pt>
                <c:pt idx="30">
                  <c:v>1736.120588235294</c:v>
                </c:pt>
                <c:pt idx="31">
                  <c:v>1736.120588235294</c:v>
                </c:pt>
                <c:pt idx="32">
                  <c:v>1736.120588235294</c:v>
                </c:pt>
                <c:pt idx="33">
                  <c:v>1736.120588235294</c:v>
                </c:pt>
              </c:numCache>
            </c:numRef>
          </c:val>
          <c:smooth val="0"/>
          <c:extLst>
            <c:ext xmlns:c16="http://schemas.microsoft.com/office/drawing/2014/chart" uri="{C3380CC4-5D6E-409C-BE32-E72D297353CC}">
              <c16:uniqueId val="{00000003-1453-42E3-BC1D-A6A3BE8C4DA7}"/>
            </c:ext>
          </c:extLst>
        </c:ser>
        <c:ser>
          <c:idx val="4"/>
          <c:order val="4"/>
          <c:spPr>
            <a:ln w="63500" cmpd="dbl">
              <a:solidFill>
                <a:srgbClr val="FF0000">
                  <a:alpha val="68000"/>
                </a:srgbClr>
              </a:solidFill>
            </a:ln>
          </c:spPr>
          <c:marker>
            <c:symbol val="none"/>
          </c:marker>
          <c:cat>
            <c:strRef>
              <c:f>FERT1!$B$3:$AI$3</c:f>
              <c:strCach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strCache>
            </c:strRef>
          </c:cat>
          <c:val>
            <c:numRef>
              <c:f>FERT1!$B$8:$AI$8</c:f>
              <c:numCache>
                <c:formatCode>0</c:formatCode>
                <c:ptCount val="34"/>
                <c:pt idx="0">
                  <c:v>1846.0676470588235</c:v>
                </c:pt>
                <c:pt idx="1">
                  <c:v>1846.0676470588235</c:v>
                </c:pt>
                <c:pt idx="2">
                  <c:v>1846.0676470588235</c:v>
                </c:pt>
                <c:pt idx="3">
                  <c:v>1846.0676470588235</c:v>
                </c:pt>
                <c:pt idx="4">
                  <c:v>1846.0676470588235</c:v>
                </c:pt>
                <c:pt idx="5">
                  <c:v>1846.0676470588235</c:v>
                </c:pt>
                <c:pt idx="6">
                  <c:v>1846.0676470588235</c:v>
                </c:pt>
                <c:pt idx="7">
                  <c:v>1846.0676470588235</c:v>
                </c:pt>
                <c:pt idx="8">
                  <c:v>1846.0676470588235</c:v>
                </c:pt>
                <c:pt idx="9">
                  <c:v>1846.0676470588235</c:v>
                </c:pt>
                <c:pt idx="10">
                  <c:v>1846.0676470588235</c:v>
                </c:pt>
                <c:pt idx="11">
                  <c:v>1846.0676470588235</c:v>
                </c:pt>
                <c:pt idx="12">
                  <c:v>1846.0676470588235</c:v>
                </c:pt>
                <c:pt idx="13">
                  <c:v>1846.0676470588235</c:v>
                </c:pt>
                <c:pt idx="14">
                  <c:v>1846.0676470588235</c:v>
                </c:pt>
                <c:pt idx="15">
                  <c:v>1846.0676470588235</c:v>
                </c:pt>
                <c:pt idx="16">
                  <c:v>1846.0676470588235</c:v>
                </c:pt>
                <c:pt idx="17">
                  <c:v>1846.0676470588235</c:v>
                </c:pt>
                <c:pt idx="18">
                  <c:v>1846.0676470588235</c:v>
                </c:pt>
                <c:pt idx="19">
                  <c:v>1846.0676470588235</c:v>
                </c:pt>
                <c:pt idx="20">
                  <c:v>1846.0676470588235</c:v>
                </c:pt>
                <c:pt idx="21">
                  <c:v>1846.0676470588235</c:v>
                </c:pt>
                <c:pt idx="22">
                  <c:v>1846.0676470588235</c:v>
                </c:pt>
                <c:pt idx="23">
                  <c:v>1846.0676470588235</c:v>
                </c:pt>
                <c:pt idx="24">
                  <c:v>1846.0676470588235</c:v>
                </c:pt>
                <c:pt idx="25">
                  <c:v>1846.0676470588235</c:v>
                </c:pt>
                <c:pt idx="26">
                  <c:v>1846.0676470588235</c:v>
                </c:pt>
                <c:pt idx="27">
                  <c:v>1846.0676470588235</c:v>
                </c:pt>
                <c:pt idx="28">
                  <c:v>1846.0676470588235</c:v>
                </c:pt>
                <c:pt idx="29">
                  <c:v>1846.0676470588235</c:v>
                </c:pt>
                <c:pt idx="30">
                  <c:v>1846.0676470588235</c:v>
                </c:pt>
                <c:pt idx="31">
                  <c:v>1846.0676470588235</c:v>
                </c:pt>
                <c:pt idx="32">
                  <c:v>1846.0676470588235</c:v>
                </c:pt>
                <c:pt idx="33">
                  <c:v>1846.0676470588235</c:v>
                </c:pt>
              </c:numCache>
            </c:numRef>
          </c:val>
          <c:smooth val="0"/>
          <c:extLst>
            <c:ext xmlns:c16="http://schemas.microsoft.com/office/drawing/2014/chart" uri="{C3380CC4-5D6E-409C-BE32-E72D297353CC}">
              <c16:uniqueId val="{00000004-1453-42E3-BC1D-A6A3BE8C4DA7}"/>
            </c:ext>
          </c:extLst>
        </c:ser>
        <c:dLbls>
          <c:showLegendKey val="0"/>
          <c:showVal val="0"/>
          <c:showCatName val="0"/>
          <c:showSerName val="0"/>
          <c:showPercent val="0"/>
          <c:showBubbleSize val="0"/>
        </c:dLbls>
        <c:smooth val="0"/>
        <c:axId val="197362816"/>
        <c:axId val="197364352"/>
      </c:lineChart>
      <c:catAx>
        <c:axId val="197362816"/>
        <c:scaling>
          <c:orientation val="minMax"/>
        </c:scaling>
        <c:delete val="0"/>
        <c:axPos val="b"/>
        <c:numFmt formatCode="General" sourceLinked="1"/>
        <c:majorTickMark val="none"/>
        <c:minorTickMark val="none"/>
        <c:tickLblPos val="nextTo"/>
        <c:txPr>
          <a:bodyPr rot="5400000" vert="horz"/>
          <a:lstStyle/>
          <a:p>
            <a:pPr>
              <a:defRPr/>
            </a:pPr>
            <a:endParaRPr lang="da-DK"/>
          </a:p>
        </c:txPr>
        <c:crossAx val="197364352"/>
        <c:crosses val="autoZero"/>
        <c:auto val="1"/>
        <c:lblAlgn val="ctr"/>
        <c:lblOffset val="100"/>
        <c:noMultiLvlLbl val="0"/>
      </c:catAx>
      <c:valAx>
        <c:axId val="197364352"/>
        <c:scaling>
          <c:orientation val="minMax"/>
          <c:max val="2100"/>
          <c:min val="1400"/>
        </c:scaling>
        <c:delete val="0"/>
        <c:axPos val="l"/>
        <c:majorGridlines/>
        <c:numFmt formatCode="#,##0" sourceLinked="0"/>
        <c:majorTickMark val="none"/>
        <c:minorTickMark val="none"/>
        <c:tickLblPos val="nextTo"/>
        <c:spPr>
          <a:ln w="9525">
            <a:noFill/>
          </a:ln>
        </c:spPr>
        <c:crossAx val="197362816"/>
        <c:crosses val="autoZero"/>
        <c:crossBetween val="between"/>
        <c:majorUnit val="100"/>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'SUMTAB stor'!$A$13</c:f>
              <c:strCache>
                <c:ptCount val="1"/>
                <c:pt idx="0">
                  <c:v>Fødte</c:v>
                </c:pt>
              </c:strCache>
            </c:strRef>
          </c:tx>
          <c:spPr>
            <a:ln>
              <a:solidFill>
                <a:srgbClr val="00B050"/>
              </a:solidFill>
              <a:prstDash val="sysDot"/>
            </a:ln>
          </c:spPr>
          <c:marker>
            <c:symbol val="none"/>
          </c:marker>
          <c:dPt>
            <c:idx val="0"/>
            <c:bubble3D val="0"/>
            <c:spPr>
              <a:ln>
                <a:solidFill>
                  <a:srgbClr val="00B050"/>
                </a:solidFill>
              </a:ln>
            </c:spPr>
            <c:extLst>
              <c:ext xmlns:c16="http://schemas.microsoft.com/office/drawing/2014/chart" uri="{C3380CC4-5D6E-409C-BE32-E72D297353CC}">
                <c16:uniqueId val="{00000001-37FB-46F2-80CC-F6C70AEF4D3E}"/>
              </c:ext>
            </c:extLst>
          </c:dPt>
          <c:dPt>
            <c:idx val="1"/>
            <c:bubble3D val="0"/>
            <c:spPr>
              <a:ln>
                <a:solidFill>
                  <a:srgbClr val="00B050"/>
                </a:solidFill>
                <a:prstDash val="solid"/>
              </a:ln>
            </c:spPr>
            <c:extLst>
              <c:ext xmlns:c16="http://schemas.microsoft.com/office/drawing/2014/chart" uri="{C3380CC4-5D6E-409C-BE32-E72D297353CC}">
                <c16:uniqueId val="{00000003-37FB-46F2-80CC-F6C70AEF4D3E}"/>
              </c:ext>
            </c:extLst>
          </c:dPt>
          <c:dPt>
            <c:idx val="2"/>
            <c:bubble3D val="0"/>
            <c:spPr>
              <a:ln>
                <a:solidFill>
                  <a:srgbClr val="00B050"/>
                </a:solidFill>
                <a:prstDash val="solid"/>
              </a:ln>
            </c:spPr>
            <c:extLst>
              <c:ext xmlns:c16="http://schemas.microsoft.com/office/drawing/2014/chart" uri="{C3380CC4-5D6E-409C-BE32-E72D297353CC}">
                <c16:uniqueId val="{00000005-37FB-46F2-80CC-F6C70AEF4D3E}"/>
              </c:ext>
            </c:extLst>
          </c:dPt>
          <c:dPt>
            <c:idx val="3"/>
            <c:bubble3D val="0"/>
            <c:spPr>
              <a:ln>
                <a:solidFill>
                  <a:srgbClr val="00B050"/>
                </a:solidFill>
                <a:prstDash val="solid"/>
              </a:ln>
            </c:spPr>
            <c:extLst>
              <c:ext xmlns:c16="http://schemas.microsoft.com/office/drawing/2014/chart" uri="{C3380CC4-5D6E-409C-BE32-E72D297353CC}">
                <c16:uniqueId val="{00000007-37FB-46F2-80CC-F6C70AEF4D3E}"/>
              </c:ext>
            </c:extLst>
          </c:dPt>
          <c:dPt>
            <c:idx val="4"/>
            <c:bubble3D val="0"/>
            <c:spPr>
              <a:ln>
                <a:solidFill>
                  <a:srgbClr val="00B050"/>
                </a:solidFill>
                <a:prstDash val="solid"/>
              </a:ln>
            </c:spPr>
            <c:extLst>
              <c:ext xmlns:c16="http://schemas.microsoft.com/office/drawing/2014/chart" uri="{C3380CC4-5D6E-409C-BE32-E72D297353CC}">
                <c16:uniqueId val="{00000009-37FB-46F2-80CC-F6C70AEF4D3E}"/>
              </c:ext>
            </c:extLst>
          </c:dPt>
          <c:dPt>
            <c:idx val="5"/>
            <c:bubble3D val="0"/>
            <c:spPr>
              <a:ln>
                <a:solidFill>
                  <a:srgbClr val="00B050"/>
                </a:solidFill>
                <a:prstDash val="solid"/>
              </a:ln>
            </c:spPr>
            <c:extLst>
              <c:ext xmlns:c16="http://schemas.microsoft.com/office/drawing/2014/chart" uri="{C3380CC4-5D6E-409C-BE32-E72D297353CC}">
                <c16:uniqueId val="{0000000B-37FB-46F2-80CC-F6C70AEF4D3E}"/>
              </c:ext>
            </c:extLst>
          </c:dPt>
          <c:dPt>
            <c:idx val="6"/>
            <c:bubble3D val="0"/>
            <c:spPr>
              <a:ln>
                <a:solidFill>
                  <a:srgbClr val="00B050"/>
                </a:solidFill>
                <a:prstDash val="solid"/>
              </a:ln>
            </c:spPr>
            <c:extLst>
              <c:ext xmlns:c16="http://schemas.microsoft.com/office/drawing/2014/chart" uri="{C3380CC4-5D6E-409C-BE32-E72D297353CC}">
                <c16:uniqueId val="{0000000D-37FB-46F2-80CC-F6C70AEF4D3E}"/>
              </c:ext>
            </c:extLst>
          </c:dPt>
          <c:dPt>
            <c:idx val="7"/>
            <c:bubble3D val="0"/>
            <c:spPr>
              <a:ln>
                <a:solidFill>
                  <a:srgbClr val="00B050"/>
                </a:solidFill>
                <a:prstDash val="solid"/>
              </a:ln>
            </c:spPr>
            <c:extLst>
              <c:ext xmlns:c16="http://schemas.microsoft.com/office/drawing/2014/chart" uri="{C3380CC4-5D6E-409C-BE32-E72D297353CC}">
                <c16:uniqueId val="{0000000F-37FB-46F2-80CC-F6C70AEF4D3E}"/>
              </c:ext>
            </c:extLst>
          </c:dPt>
          <c:dPt>
            <c:idx val="8"/>
            <c:bubble3D val="0"/>
            <c:spPr>
              <a:ln>
                <a:solidFill>
                  <a:srgbClr val="00B050"/>
                </a:solidFill>
                <a:prstDash val="solid"/>
              </a:ln>
            </c:spPr>
            <c:extLst>
              <c:ext xmlns:c16="http://schemas.microsoft.com/office/drawing/2014/chart" uri="{C3380CC4-5D6E-409C-BE32-E72D297353CC}">
                <c16:uniqueId val="{00000011-37FB-46F2-80CC-F6C70AEF4D3E}"/>
              </c:ext>
            </c:extLst>
          </c:dPt>
          <c:dPt>
            <c:idx val="9"/>
            <c:bubble3D val="0"/>
            <c:spPr>
              <a:ln>
                <a:solidFill>
                  <a:srgbClr val="00B050"/>
                </a:solidFill>
              </a:ln>
            </c:spPr>
            <c:extLst>
              <c:ext xmlns:c16="http://schemas.microsoft.com/office/drawing/2014/chart" uri="{C3380CC4-5D6E-409C-BE32-E72D297353CC}">
                <c16:uniqueId val="{00000013-37FB-46F2-80CC-F6C70AEF4D3E}"/>
              </c:ext>
            </c:extLst>
          </c:dPt>
          <c:dPt>
            <c:idx val="10"/>
            <c:bubble3D val="0"/>
            <c:spPr>
              <a:ln>
                <a:solidFill>
                  <a:srgbClr val="00B050"/>
                </a:solidFill>
                <a:prstDash val="solid"/>
              </a:ln>
            </c:spPr>
            <c:extLst>
              <c:ext xmlns:c16="http://schemas.microsoft.com/office/drawing/2014/chart" uri="{C3380CC4-5D6E-409C-BE32-E72D297353CC}">
                <c16:uniqueId val="{00000015-37FB-46F2-80CC-F6C70AEF4D3E}"/>
              </c:ext>
            </c:extLst>
          </c:dPt>
          <c:dPt>
            <c:idx val="11"/>
            <c:bubble3D val="0"/>
            <c:spPr>
              <a:ln>
                <a:solidFill>
                  <a:srgbClr val="00B050"/>
                </a:solidFill>
                <a:prstDash val="solid"/>
              </a:ln>
            </c:spPr>
            <c:extLst>
              <c:ext xmlns:c16="http://schemas.microsoft.com/office/drawing/2014/chart" uri="{C3380CC4-5D6E-409C-BE32-E72D297353CC}">
                <c16:uniqueId val="{00000017-37FB-46F2-80CC-F6C70AEF4D3E}"/>
              </c:ext>
            </c:extLst>
          </c:dPt>
          <c:dPt>
            <c:idx val="12"/>
            <c:bubble3D val="0"/>
            <c:spPr>
              <a:ln>
                <a:solidFill>
                  <a:srgbClr val="00B050"/>
                </a:solidFill>
                <a:prstDash val="solid"/>
              </a:ln>
            </c:spPr>
            <c:extLst>
              <c:ext xmlns:c16="http://schemas.microsoft.com/office/drawing/2014/chart" uri="{C3380CC4-5D6E-409C-BE32-E72D297353CC}">
                <c16:uniqueId val="{00000019-37FB-46F2-80CC-F6C70AEF4D3E}"/>
              </c:ext>
            </c:extLst>
          </c:dPt>
          <c:dPt>
            <c:idx val="13"/>
            <c:bubble3D val="0"/>
            <c:spPr>
              <a:ln>
                <a:solidFill>
                  <a:srgbClr val="00B050"/>
                </a:solidFill>
                <a:prstDash val="solid"/>
              </a:ln>
            </c:spPr>
            <c:extLst>
              <c:ext xmlns:c16="http://schemas.microsoft.com/office/drawing/2014/chart" uri="{C3380CC4-5D6E-409C-BE32-E72D297353CC}">
                <c16:uniqueId val="{0000001B-37FB-46F2-80CC-F6C70AEF4D3E}"/>
              </c:ext>
            </c:extLst>
          </c:dPt>
          <c:cat>
            <c:numRef>
              <c:f>'SUMTAB stor'!$B$45:$Z$45</c:f>
              <c:numCache>
                <c:formatCode>General</c:formatCode>
                <c:ptCount val="2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pt idx="24">
                  <c:v>2030</c:v>
                </c:pt>
              </c:numCache>
            </c:numRef>
          </c:cat>
          <c:val>
            <c:numRef>
              <c:f>'SUMTAB stor'!$B$13:$Z$13</c:f>
              <c:numCache>
                <c:formatCode>0</c:formatCode>
                <c:ptCount val="25"/>
                <c:pt idx="0">
                  <c:v>405</c:v>
                </c:pt>
                <c:pt idx="1">
                  <c:v>390</c:v>
                </c:pt>
                <c:pt idx="2">
                  <c:v>375</c:v>
                </c:pt>
                <c:pt idx="3">
                  <c:v>360</c:v>
                </c:pt>
                <c:pt idx="4">
                  <c:v>370</c:v>
                </c:pt>
                <c:pt idx="5">
                  <c:v>355</c:v>
                </c:pt>
                <c:pt idx="6">
                  <c:v>347</c:v>
                </c:pt>
                <c:pt idx="7">
                  <c:v>364</c:v>
                </c:pt>
                <c:pt idx="8">
                  <c:v>399</c:v>
                </c:pt>
                <c:pt idx="9">
                  <c:v>394</c:v>
                </c:pt>
                <c:pt idx="10">
                  <c:v>423</c:v>
                </c:pt>
                <c:pt idx="11">
                  <c:v>388</c:v>
                </c:pt>
                <c:pt idx="12" formatCode="#,##0">
                  <c:v>410</c:v>
                </c:pt>
                <c:pt idx="13">
                  <c:v>396</c:v>
                </c:pt>
                <c:pt idx="14">
                  <c:v>404</c:v>
                </c:pt>
                <c:pt idx="15">
                  <c:v>408</c:v>
                </c:pt>
                <c:pt idx="16">
                  <c:v>421</c:v>
                </c:pt>
                <c:pt idx="17">
                  <c:v>442</c:v>
                </c:pt>
                <c:pt idx="18">
                  <c:v>460</c:v>
                </c:pt>
                <c:pt idx="19">
                  <c:v>467</c:v>
                </c:pt>
                <c:pt idx="20">
                  <c:v>464</c:v>
                </c:pt>
                <c:pt idx="21">
                  <c:v>457</c:v>
                </c:pt>
                <c:pt idx="22">
                  <c:v>451</c:v>
                </c:pt>
                <c:pt idx="23">
                  <c:v>443</c:v>
                </c:pt>
                <c:pt idx="24">
                  <c:v>436</c:v>
                </c:pt>
              </c:numCache>
            </c:numRef>
          </c:val>
          <c:smooth val="1"/>
          <c:extLst>
            <c:ext xmlns:c16="http://schemas.microsoft.com/office/drawing/2014/chart" uri="{C3380CC4-5D6E-409C-BE32-E72D297353CC}">
              <c16:uniqueId val="{0000001C-37FB-46F2-80CC-F6C70AEF4D3E}"/>
            </c:ext>
          </c:extLst>
        </c:ser>
        <c:ser>
          <c:idx val="1"/>
          <c:order val="1"/>
          <c:tx>
            <c:strRef>
              <c:f>'SUMTAB stor'!$A$14</c:f>
              <c:strCache>
                <c:ptCount val="1"/>
                <c:pt idx="0">
                  <c:v>Døde</c:v>
                </c:pt>
              </c:strCache>
            </c:strRef>
          </c:tx>
          <c:spPr>
            <a:ln>
              <a:prstDash val="sysDot"/>
            </a:ln>
          </c:spPr>
          <c:marker>
            <c:symbol val="none"/>
          </c:marker>
          <c:dPt>
            <c:idx val="0"/>
            <c:bubble3D val="0"/>
            <c:spPr>
              <a:ln>
                <a:prstDash val="solid"/>
              </a:ln>
            </c:spPr>
            <c:extLst>
              <c:ext xmlns:c16="http://schemas.microsoft.com/office/drawing/2014/chart" uri="{C3380CC4-5D6E-409C-BE32-E72D297353CC}">
                <c16:uniqueId val="{0000001E-37FB-46F2-80CC-F6C70AEF4D3E}"/>
              </c:ext>
            </c:extLst>
          </c:dPt>
          <c:dPt>
            <c:idx val="1"/>
            <c:bubble3D val="0"/>
            <c:spPr>
              <a:ln>
                <a:prstDash val="solid"/>
              </a:ln>
            </c:spPr>
            <c:extLst>
              <c:ext xmlns:c16="http://schemas.microsoft.com/office/drawing/2014/chart" uri="{C3380CC4-5D6E-409C-BE32-E72D297353CC}">
                <c16:uniqueId val="{00000020-37FB-46F2-80CC-F6C70AEF4D3E}"/>
              </c:ext>
            </c:extLst>
          </c:dPt>
          <c:dPt>
            <c:idx val="2"/>
            <c:bubble3D val="0"/>
            <c:spPr>
              <a:ln>
                <a:prstDash val="solid"/>
              </a:ln>
            </c:spPr>
            <c:extLst>
              <c:ext xmlns:c16="http://schemas.microsoft.com/office/drawing/2014/chart" uri="{C3380CC4-5D6E-409C-BE32-E72D297353CC}">
                <c16:uniqueId val="{00000022-37FB-46F2-80CC-F6C70AEF4D3E}"/>
              </c:ext>
            </c:extLst>
          </c:dPt>
          <c:dPt>
            <c:idx val="3"/>
            <c:bubble3D val="0"/>
            <c:spPr>
              <a:ln>
                <a:prstDash val="solid"/>
              </a:ln>
            </c:spPr>
            <c:extLst>
              <c:ext xmlns:c16="http://schemas.microsoft.com/office/drawing/2014/chart" uri="{C3380CC4-5D6E-409C-BE32-E72D297353CC}">
                <c16:uniqueId val="{00000024-37FB-46F2-80CC-F6C70AEF4D3E}"/>
              </c:ext>
            </c:extLst>
          </c:dPt>
          <c:dPt>
            <c:idx val="4"/>
            <c:bubble3D val="0"/>
            <c:spPr>
              <a:ln>
                <a:prstDash val="solid"/>
              </a:ln>
            </c:spPr>
            <c:extLst>
              <c:ext xmlns:c16="http://schemas.microsoft.com/office/drawing/2014/chart" uri="{C3380CC4-5D6E-409C-BE32-E72D297353CC}">
                <c16:uniqueId val="{00000026-37FB-46F2-80CC-F6C70AEF4D3E}"/>
              </c:ext>
            </c:extLst>
          </c:dPt>
          <c:dPt>
            <c:idx val="5"/>
            <c:bubble3D val="0"/>
            <c:spPr>
              <a:ln>
                <a:prstDash val="solid"/>
              </a:ln>
            </c:spPr>
            <c:extLst>
              <c:ext xmlns:c16="http://schemas.microsoft.com/office/drawing/2014/chart" uri="{C3380CC4-5D6E-409C-BE32-E72D297353CC}">
                <c16:uniqueId val="{00000028-37FB-46F2-80CC-F6C70AEF4D3E}"/>
              </c:ext>
            </c:extLst>
          </c:dPt>
          <c:dPt>
            <c:idx val="6"/>
            <c:bubble3D val="0"/>
            <c:spPr>
              <a:ln>
                <a:prstDash val="solid"/>
              </a:ln>
            </c:spPr>
            <c:extLst>
              <c:ext xmlns:c16="http://schemas.microsoft.com/office/drawing/2014/chart" uri="{C3380CC4-5D6E-409C-BE32-E72D297353CC}">
                <c16:uniqueId val="{0000002A-37FB-46F2-80CC-F6C70AEF4D3E}"/>
              </c:ext>
            </c:extLst>
          </c:dPt>
          <c:dPt>
            <c:idx val="7"/>
            <c:bubble3D val="0"/>
            <c:spPr>
              <a:ln>
                <a:prstDash val="solid"/>
              </a:ln>
            </c:spPr>
            <c:extLst>
              <c:ext xmlns:c16="http://schemas.microsoft.com/office/drawing/2014/chart" uri="{C3380CC4-5D6E-409C-BE32-E72D297353CC}">
                <c16:uniqueId val="{0000002C-37FB-46F2-80CC-F6C70AEF4D3E}"/>
              </c:ext>
            </c:extLst>
          </c:dPt>
          <c:dPt>
            <c:idx val="8"/>
            <c:bubble3D val="0"/>
            <c:spPr>
              <a:ln>
                <a:prstDash val="solid"/>
              </a:ln>
            </c:spPr>
            <c:extLst>
              <c:ext xmlns:c16="http://schemas.microsoft.com/office/drawing/2014/chart" uri="{C3380CC4-5D6E-409C-BE32-E72D297353CC}">
                <c16:uniqueId val="{0000002E-37FB-46F2-80CC-F6C70AEF4D3E}"/>
              </c:ext>
            </c:extLst>
          </c:dPt>
          <c:dPt>
            <c:idx val="9"/>
            <c:bubble3D val="0"/>
            <c:spPr/>
            <c:extLst>
              <c:ext xmlns:c16="http://schemas.microsoft.com/office/drawing/2014/chart" uri="{C3380CC4-5D6E-409C-BE32-E72D297353CC}">
                <c16:uniqueId val="{00000030-37FB-46F2-80CC-F6C70AEF4D3E}"/>
              </c:ext>
            </c:extLst>
          </c:dPt>
          <c:dPt>
            <c:idx val="10"/>
            <c:bubble3D val="0"/>
            <c:spPr>
              <a:ln>
                <a:prstDash val="solid"/>
              </a:ln>
            </c:spPr>
            <c:extLst>
              <c:ext xmlns:c16="http://schemas.microsoft.com/office/drawing/2014/chart" uri="{C3380CC4-5D6E-409C-BE32-E72D297353CC}">
                <c16:uniqueId val="{00000032-37FB-46F2-80CC-F6C70AEF4D3E}"/>
              </c:ext>
            </c:extLst>
          </c:dPt>
          <c:dPt>
            <c:idx val="11"/>
            <c:bubble3D val="0"/>
            <c:spPr>
              <a:ln>
                <a:prstDash val="solid"/>
              </a:ln>
            </c:spPr>
            <c:extLst>
              <c:ext xmlns:c16="http://schemas.microsoft.com/office/drawing/2014/chart" uri="{C3380CC4-5D6E-409C-BE32-E72D297353CC}">
                <c16:uniqueId val="{00000034-37FB-46F2-80CC-F6C70AEF4D3E}"/>
              </c:ext>
            </c:extLst>
          </c:dPt>
          <c:dPt>
            <c:idx val="12"/>
            <c:bubble3D val="0"/>
            <c:spPr>
              <a:ln>
                <a:prstDash val="solid"/>
              </a:ln>
            </c:spPr>
            <c:extLst>
              <c:ext xmlns:c16="http://schemas.microsoft.com/office/drawing/2014/chart" uri="{C3380CC4-5D6E-409C-BE32-E72D297353CC}">
                <c16:uniqueId val="{00000036-37FB-46F2-80CC-F6C70AEF4D3E}"/>
              </c:ext>
            </c:extLst>
          </c:dPt>
          <c:dPt>
            <c:idx val="13"/>
            <c:bubble3D val="0"/>
            <c:spPr>
              <a:ln>
                <a:prstDash val="solid"/>
              </a:ln>
            </c:spPr>
            <c:extLst>
              <c:ext xmlns:c16="http://schemas.microsoft.com/office/drawing/2014/chart" uri="{C3380CC4-5D6E-409C-BE32-E72D297353CC}">
                <c16:uniqueId val="{00000038-37FB-46F2-80CC-F6C70AEF4D3E}"/>
              </c:ext>
            </c:extLst>
          </c:dPt>
          <c:cat>
            <c:numRef>
              <c:f>'SUMTAB stor'!$B$45:$Z$45</c:f>
              <c:numCache>
                <c:formatCode>General</c:formatCode>
                <c:ptCount val="2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pt idx="24">
                  <c:v>2030</c:v>
                </c:pt>
              </c:numCache>
            </c:numRef>
          </c:cat>
          <c:val>
            <c:numRef>
              <c:f>'SUMTAB stor'!$B$14:$Z$14</c:f>
              <c:numCache>
                <c:formatCode>0</c:formatCode>
                <c:ptCount val="25"/>
                <c:pt idx="0">
                  <c:v>379</c:v>
                </c:pt>
                <c:pt idx="1">
                  <c:v>361</c:v>
                </c:pt>
                <c:pt idx="2">
                  <c:v>322</c:v>
                </c:pt>
                <c:pt idx="3">
                  <c:v>395</c:v>
                </c:pt>
                <c:pt idx="4">
                  <c:v>379</c:v>
                </c:pt>
                <c:pt idx="5">
                  <c:v>378</c:v>
                </c:pt>
                <c:pt idx="6">
                  <c:v>379</c:v>
                </c:pt>
                <c:pt idx="7">
                  <c:v>348</c:v>
                </c:pt>
                <c:pt idx="8">
                  <c:v>325</c:v>
                </c:pt>
                <c:pt idx="9">
                  <c:v>356</c:v>
                </c:pt>
                <c:pt idx="10">
                  <c:v>370</c:v>
                </c:pt>
                <c:pt idx="11">
                  <c:v>408</c:v>
                </c:pt>
                <c:pt idx="12" formatCode="#,##0">
                  <c:v>350</c:v>
                </c:pt>
                <c:pt idx="13">
                  <c:v>392</c:v>
                </c:pt>
                <c:pt idx="14">
                  <c:v>377</c:v>
                </c:pt>
                <c:pt idx="15">
                  <c:v>374</c:v>
                </c:pt>
                <c:pt idx="16">
                  <c:v>372</c:v>
                </c:pt>
                <c:pt idx="17">
                  <c:v>371</c:v>
                </c:pt>
                <c:pt idx="18">
                  <c:v>372</c:v>
                </c:pt>
                <c:pt idx="19">
                  <c:v>373</c:v>
                </c:pt>
                <c:pt idx="20">
                  <c:v>374</c:v>
                </c:pt>
                <c:pt idx="21">
                  <c:v>374</c:v>
                </c:pt>
                <c:pt idx="22">
                  <c:v>375</c:v>
                </c:pt>
                <c:pt idx="23">
                  <c:v>376</c:v>
                </c:pt>
                <c:pt idx="24">
                  <c:v>376</c:v>
                </c:pt>
              </c:numCache>
            </c:numRef>
          </c:val>
          <c:smooth val="1"/>
          <c:extLst>
            <c:ext xmlns:c16="http://schemas.microsoft.com/office/drawing/2014/chart" uri="{C3380CC4-5D6E-409C-BE32-E72D297353CC}">
              <c16:uniqueId val="{00000039-37FB-46F2-80CC-F6C70AEF4D3E}"/>
            </c:ext>
          </c:extLst>
        </c:ser>
        <c:ser>
          <c:idx val="2"/>
          <c:order val="2"/>
          <c:tx>
            <c:strRef>
              <c:f>'SUMTAB stor'!$A$15</c:f>
              <c:strCache>
                <c:ptCount val="1"/>
                <c:pt idx="0">
                  <c:v>Overskud</c:v>
                </c:pt>
              </c:strCache>
            </c:strRef>
          </c:tx>
          <c:spPr>
            <a:ln>
              <a:solidFill>
                <a:schemeClr val="tx1"/>
              </a:solidFill>
              <a:prstDash val="sysDot"/>
            </a:ln>
          </c:spPr>
          <c:marker>
            <c:symbol val="none"/>
          </c:marker>
          <c:dPt>
            <c:idx val="1"/>
            <c:bubble3D val="0"/>
            <c:spPr>
              <a:ln>
                <a:solidFill>
                  <a:schemeClr val="tx1"/>
                </a:solidFill>
                <a:prstDash val="solid"/>
              </a:ln>
            </c:spPr>
            <c:extLst>
              <c:ext xmlns:c16="http://schemas.microsoft.com/office/drawing/2014/chart" uri="{C3380CC4-5D6E-409C-BE32-E72D297353CC}">
                <c16:uniqueId val="{0000003B-37FB-46F2-80CC-F6C70AEF4D3E}"/>
              </c:ext>
            </c:extLst>
          </c:dPt>
          <c:dPt>
            <c:idx val="2"/>
            <c:bubble3D val="0"/>
            <c:spPr>
              <a:ln>
                <a:solidFill>
                  <a:schemeClr val="tx1"/>
                </a:solidFill>
                <a:prstDash val="solid"/>
              </a:ln>
            </c:spPr>
            <c:extLst>
              <c:ext xmlns:c16="http://schemas.microsoft.com/office/drawing/2014/chart" uri="{C3380CC4-5D6E-409C-BE32-E72D297353CC}">
                <c16:uniqueId val="{0000003D-37FB-46F2-80CC-F6C70AEF4D3E}"/>
              </c:ext>
            </c:extLst>
          </c:dPt>
          <c:dPt>
            <c:idx val="3"/>
            <c:bubble3D val="0"/>
            <c:spPr>
              <a:ln>
                <a:solidFill>
                  <a:schemeClr val="tx1"/>
                </a:solidFill>
                <a:prstDash val="solid"/>
              </a:ln>
            </c:spPr>
            <c:extLst>
              <c:ext xmlns:c16="http://schemas.microsoft.com/office/drawing/2014/chart" uri="{C3380CC4-5D6E-409C-BE32-E72D297353CC}">
                <c16:uniqueId val="{0000003F-37FB-46F2-80CC-F6C70AEF4D3E}"/>
              </c:ext>
            </c:extLst>
          </c:dPt>
          <c:dPt>
            <c:idx val="4"/>
            <c:bubble3D val="0"/>
            <c:spPr>
              <a:ln>
                <a:solidFill>
                  <a:schemeClr val="tx1"/>
                </a:solidFill>
                <a:prstDash val="solid"/>
              </a:ln>
            </c:spPr>
            <c:extLst>
              <c:ext xmlns:c16="http://schemas.microsoft.com/office/drawing/2014/chart" uri="{C3380CC4-5D6E-409C-BE32-E72D297353CC}">
                <c16:uniqueId val="{00000041-37FB-46F2-80CC-F6C70AEF4D3E}"/>
              </c:ext>
            </c:extLst>
          </c:dPt>
          <c:dPt>
            <c:idx val="5"/>
            <c:bubble3D val="0"/>
            <c:spPr>
              <a:ln>
                <a:solidFill>
                  <a:schemeClr val="tx1"/>
                </a:solidFill>
                <a:prstDash val="solid"/>
              </a:ln>
            </c:spPr>
            <c:extLst>
              <c:ext xmlns:c16="http://schemas.microsoft.com/office/drawing/2014/chart" uri="{C3380CC4-5D6E-409C-BE32-E72D297353CC}">
                <c16:uniqueId val="{00000043-37FB-46F2-80CC-F6C70AEF4D3E}"/>
              </c:ext>
            </c:extLst>
          </c:dPt>
          <c:dPt>
            <c:idx val="6"/>
            <c:bubble3D val="0"/>
            <c:spPr>
              <a:ln>
                <a:solidFill>
                  <a:schemeClr val="tx1"/>
                </a:solidFill>
                <a:prstDash val="solid"/>
              </a:ln>
            </c:spPr>
            <c:extLst>
              <c:ext xmlns:c16="http://schemas.microsoft.com/office/drawing/2014/chart" uri="{C3380CC4-5D6E-409C-BE32-E72D297353CC}">
                <c16:uniqueId val="{00000045-37FB-46F2-80CC-F6C70AEF4D3E}"/>
              </c:ext>
            </c:extLst>
          </c:dPt>
          <c:dPt>
            <c:idx val="7"/>
            <c:bubble3D val="0"/>
            <c:spPr>
              <a:ln>
                <a:solidFill>
                  <a:schemeClr val="tx1"/>
                </a:solidFill>
                <a:prstDash val="solid"/>
              </a:ln>
            </c:spPr>
            <c:extLst>
              <c:ext xmlns:c16="http://schemas.microsoft.com/office/drawing/2014/chart" uri="{C3380CC4-5D6E-409C-BE32-E72D297353CC}">
                <c16:uniqueId val="{00000047-37FB-46F2-80CC-F6C70AEF4D3E}"/>
              </c:ext>
            </c:extLst>
          </c:dPt>
          <c:dPt>
            <c:idx val="8"/>
            <c:bubble3D val="0"/>
            <c:spPr>
              <a:ln>
                <a:solidFill>
                  <a:schemeClr val="tx1"/>
                </a:solidFill>
                <a:prstDash val="solid"/>
              </a:ln>
            </c:spPr>
            <c:extLst>
              <c:ext xmlns:c16="http://schemas.microsoft.com/office/drawing/2014/chart" uri="{C3380CC4-5D6E-409C-BE32-E72D297353CC}">
                <c16:uniqueId val="{00000049-37FB-46F2-80CC-F6C70AEF4D3E}"/>
              </c:ext>
            </c:extLst>
          </c:dPt>
          <c:dPt>
            <c:idx val="9"/>
            <c:bubble3D val="0"/>
            <c:spPr>
              <a:ln>
                <a:solidFill>
                  <a:schemeClr val="tx1"/>
                </a:solidFill>
              </a:ln>
            </c:spPr>
            <c:extLst>
              <c:ext xmlns:c16="http://schemas.microsoft.com/office/drawing/2014/chart" uri="{C3380CC4-5D6E-409C-BE32-E72D297353CC}">
                <c16:uniqueId val="{0000004B-37FB-46F2-80CC-F6C70AEF4D3E}"/>
              </c:ext>
            </c:extLst>
          </c:dPt>
          <c:dPt>
            <c:idx val="10"/>
            <c:bubble3D val="0"/>
            <c:spPr>
              <a:ln>
                <a:solidFill>
                  <a:schemeClr val="tx1"/>
                </a:solidFill>
                <a:prstDash val="solid"/>
              </a:ln>
            </c:spPr>
            <c:extLst>
              <c:ext xmlns:c16="http://schemas.microsoft.com/office/drawing/2014/chart" uri="{C3380CC4-5D6E-409C-BE32-E72D297353CC}">
                <c16:uniqueId val="{0000004D-37FB-46F2-80CC-F6C70AEF4D3E}"/>
              </c:ext>
            </c:extLst>
          </c:dPt>
          <c:dPt>
            <c:idx val="11"/>
            <c:bubble3D val="0"/>
            <c:spPr>
              <a:ln>
                <a:solidFill>
                  <a:schemeClr val="tx1"/>
                </a:solidFill>
                <a:prstDash val="solid"/>
              </a:ln>
            </c:spPr>
            <c:extLst>
              <c:ext xmlns:c16="http://schemas.microsoft.com/office/drawing/2014/chart" uri="{C3380CC4-5D6E-409C-BE32-E72D297353CC}">
                <c16:uniqueId val="{0000004F-37FB-46F2-80CC-F6C70AEF4D3E}"/>
              </c:ext>
            </c:extLst>
          </c:dPt>
          <c:dPt>
            <c:idx val="12"/>
            <c:bubble3D val="0"/>
            <c:spPr>
              <a:ln>
                <a:solidFill>
                  <a:schemeClr val="tx1"/>
                </a:solidFill>
                <a:prstDash val="solid"/>
              </a:ln>
            </c:spPr>
            <c:extLst>
              <c:ext xmlns:c16="http://schemas.microsoft.com/office/drawing/2014/chart" uri="{C3380CC4-5D6E-409C-BE32-E72D297353CC}">
                <c16:uniqueId val="{00000051-37FB-46F2-80CC-F6C70AEF4D3E}"/>
              </c:ext>
            </c:extLst>
          </c:dPt>
          <c:dPt>
            <c:idx val="13"/>
            <c:bubble3D val="0"/>
            <c:spPr>
              <a:ln>
                <a:solidFill>
                  <a:schemeClr val="tx1"/>
                </a:solidFill>
                <a:prstDash val="solid"/>
              </a:ln>
            </c:spPr>
            <c:extLst>
              <c:ext xmlns:c16="http://schemas.microsoft.com/office/drawing/2014/chart" uri="{C3380CC4-5D6E-409C-BE32-E72D297353CC}">
                <c16:uniqueId val="{00000053-37FB-46F2-80CC-F6C70AEF4D3E}"/>
              </c:ext>
            </c:extLst>
          </c:dPt>
          <c:cat>
            <c:numRef>
              <c:f>'SUMTAB stor'!$B$45:$Z$45</c:f>
              <c:numCache>
                <c:formatCode>General</c:formatCode>
                <c:ptCount val="2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pt idx="24">
                  <c:v>2030</c:v>
                </c:pt>
              </c:numCache>
            </c:numRef>
          </c:cat>
          <c:val>
            <c:numRef>
              <c:f>'SUMTAB stor'!$B$15:$Z$15</c:f>
              <c:numCache>
                <c:formatCode>0</c:formatCode>
                <c:ptCount val="25"/>
                <c:pt idx="0">
                  <c:v>26</c:v>
                </c:pt>
                <c:pt idx="1">
                  <c:v>29</c:v>
                </c:pt>
                <c:pt idx="2">
                  <c:v>53</c:v>
                </c:pt>
                <c:pt idx="3">
                  <c:v>-35</c:v>
                </c:pt>
                <c:pt idx="4">
                  <c:v>-9</c:v>
                </c:pt>
                <c:pt idx="5">
                  <c:v>-23</c:v>
                </c:pt>
                <c:pt idx="6">
                  <c:v>-32</c:v>
                </c:pt>
                <c:pt idx="7">
                  <c:v>16</c:v>
                </c:pt>
                <c:pt idx="8">
                  <c:v>74</c:v>
                </c:pt>
                <c:pt idx="9">
                  <c:v>38</c:v>
                </c:pt>
                <c:pt idx="10">
                  <c:v>53</c:v>
                </c:pt>
                <c:pt idx="11">
                  <c:v>-20</c:v>
                </c:pt>
                <c:pt idx="12" formatCode="#,##0">
                  <c:v>60</c:v>
                </c:pt>
                <c:pt idx="13">
                  <c:v>4</c:v>
                </c:pt>
                <c:pt idx="14">
                  <c:v>26</c:v>
                </c:pt>
                <c:pt idx="15">
                  <c:v>35</c:v>
                </c:pt>
                <c:pt idx="16">
                  <c:v>50</c:v>
                </c:pt>
                <c:pt idx="17">
                  <c:v>71</c:v>
                </c:pt>
                <c:pt idx="18">
                  <c:v>88</c:v>
                </c:pt>
                <c:pt idx="19">
                  <c:v>94</c:v>
                </c:pt>
                <c:pt idx="20">
                  <c:v>90</c:v>
                </c:pt>
                <c:pt idx="21">
                  <c:v>83</c:v>
                </c:pt>
                <c:pt idx="22">
                  <c:v>76</c:v>
                </c:pt>
                <c:pt idx="23">
                  <c:v>68</c:v>
                </c:pt>
                <c:pt idx="24">
                  <c:v>59</c:v>
                </c:pt>
              </c:numCache>
            </c:numRef>
          </c:val>
          <c:smooth val="1"/>
          <c:extLst>
            <c:ext xmlns:c16="http://schemas.microsoft.com/office/drawing/2014/chart" uri="{C3380CC4-5D6E-409C-BE32-E72D297353CC}">
              <c16:uniqueId val="{00000054-37FB-46F2-80CC-F6C70AEF4D3E}"/>
            </c:ext>
          </c:extLst>
        </c:ser>
        <c:dLbls>
          <c:showLegendKey val="0"/>
          <c:showVal val="0"/>
          <c:showCatName val="0"/>
          <c:showSerName val="0"/>
          <c:showPercent val="0"/>
          <c:showBubbleSize val="0"/>
        </c:dLbls>
        <c:smooth val="0"/>
        <c:axId val="194219392"/>
        <c:axId val="194221184"/>
      </c:lineChart>
      <c:catAx>
        <c:axId val="194219392"/>
        <c:scaling>
          <c:orientation val="minMax"/>
        </c:scaling>
        <c:delete val="0"/>
        <c:axPos val="b"/>
        <c:numFmt formatCode="General" sourceLinked="1"/>
        <c:majorTickMark val="out"/>
        <c:minorTickMark val="none"/>
        <c:tickLblPos val="nextTo"/>
        <c:crossAx val="194221184"/>
        <c:crosses val="autoZero"/>
        <c:auto val="1"/>
        <c:lblAlgn val="ctr"/>
        <c:lblOffset val="100"/>
        <c:noMultiLvlLbl val="0"/>
      </c:catAx>
      <c:valAx>
        <c:axId val="194221184"/>
        <c:scaling>
          <c:orientation val="minMax"/>
          <c:min val="-100"/>
        </c:scaling>
        <c:delete val="0"/>
        <c:axPos val="l"/>
        <c:majorGridlines/>
        <c:numFmt formatCode="0" sourceLinked="1"/>
        <c:majorTickMark val="out"/>
        <c:minorTickMark val="none"/>
        <c:tickLblPos val="nextTo"/>
        <c:crossAx val="194219392"/>
        <c:crosses val="autoZero"/>
        <c:crossBetween val="between"/>
      </c:valAx>
    </c:plotArea>
    <c:legend>
      <c:legendPos val="r"/>
      <c:overlay val="0"/>
    </c:legend>
    <c:plotVisOnly val="1"/>
    <c:dispBlanksAs val="gap"/>
    <c:showDLblsOverMax val="0"/>
  </c:chart>
  <c:spPr>
    <a:ln>
      <a:noFill/>
    </a:ln>
  </c:spPr>
  <c:txPr>
    <a:bodyPr/>
    <a:lstStyle/>
    <a:p>
      <a:pPr>
        <a:defRPr sz="800"/>
      </a:pPr>
      <a:endParaRPr lang="da-D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'[2015-Tabel 15 og Figur 11. Tilflytningsprofiler.xlsx]Ark1'!$B$8</c:f>
              <c:strCache>
                <c:ptCount val="1"/>
                <c:pt idx="0">
                  <c:v>Parcel</c:v>
                </c:pt>
              </c:strCache>
            </c:strRef>
          </c:tx>
          <c:marker>
            <c:symbol val="none"/>
          </c:marker>
          <c:cat>
            <c:numRef>
              <c:f>'[2015-Tabel 15 og Figur 11. Tilflytningsprofiler.xlsx]Ark1'!$D$7:$CY$7</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'[2015-Tabel 15 og Figur 11. Tilflytningsprofiler.xlsx]Ark1'!$D$8:$CY$8</c:f>
              <c:numCache>
                <c:formatCode>General</c:formatCode>
                <c:ptCount val="100"/>
                <c:pt idx="0">
                  <c:v>4.6875</c:v>
                </c:pt>
                <c:pt idx="1">
                  <c:v>8.5416666666666661</c:v>
                </c:pt>
                <c:pt idx="2">
                  <c:v>10.15625</c:v>
                </c:pt>
                <c:pt idx="3">
                  <c:v>10.026041666666666</c:v>
                </c:pt>
                <c:pt idx="4">
                  <c:v>6.7057291666666661</c:v>
                </c:pt>
                <c:pt idx="5">
                  <c:v>7.291666666666667</c:v>
                </c:pt>
                <c:pt idx="6">
                  <c:v>7.8124999999999991</c:v>
                </c:pt>
                <c:pt idx="7">
                  <c:v>4.5572916666666661</c:v>
                </c:pt>
                <c:pt idx="8">
                  <c:v>3.90625</c:v>
                </c:pt>
                <c:pt idx="9">
                  <c:v>5.5338541666666661</c:v>
                </c:pt>
                <c:pt idx="10">
                  <c:v>4.427083333333333</c:v>
                </c:pt>
                <c:pt idx="11">
                  <c:v>4.427083333333333</c:v>
                </c:pt>
                <c:pt idx="12">
                  <c:v>4.557291666666667</c:v>
                </c:pt>
                <c:pt idx="13">
                  <c:v>3.059895833333333</c:v>
                </c:pt>
                <c:pt idx="14">
                  <c:v>4.036458333333333</c:v>
                </c:pt>
                <c:pt idx="15">
                  <c:v>4.8177083333333339</c:v>
                </c:pt>
                <c:pt idx="16">
                  <c:v>4.947916666666667</c:v>
                </c:pt>
                <c:pt idx="17">
                  <c:v>3.4505208333333335</c:v>
                </c:pt>
                <c:pt idx="18">
                  <c:v>2.2135416666666665</c:v>
                </c:pt>
                <c:pt idx="19">
                  <c:v>3.5807291666666665</c:v>
                </c:pt>
                <c:pt idx="20">
                  <c:v>2.0182291666666665</c:v>
                </c:pt>
                <c:pt idx="21">
                  <c:v>1.4973958333333333</c:v>
                </c:pt>
                <c:pt idx="22">
                  <c:v>1.4322916666666663</c:v>
                </c:pt>
                <c:pt idx="23">
                  <c:v>1.0416666666666665</c:v>
                </c:pt>
                <c:pt idx="24">
                  <c:v>1.8229166666666665</c:v>
                </c:pt>
                <c:pt idx="25">
                  <c:v>2.4088541666666665</c:v>
                </c:pt>
                <c:pt idx="26">
                  <c:v>2.278645833333333</c:v>
                </c:pt>
                <c:pt idx="27">
                  <c:v>3.841145833333333</c:v>
                </c:pt>
                <c:pt idx="28">
                  <c:v>5.2734375</c:v>
                </c:pt>
                <c:pt idx="29">
                  <c:v>8.1380208333333321</c:v>
                </c:pt>
                <c:pt idx="30">
                  <c:v>9.1796875</c:v>
                </c:pt>
                <c:pt idx="31">
                  <c:v>9.765625</c:v>
                </c:pt>
                <c:pt idx="32">
                  <c:v>9.0494791666666661</c:v>
                </c:pt>
                <c:pt idx="33">
                  <c:v>9.2447916666666661</c:v>
                </c:pt>
                <c:pt idx="34">
                  <c:v>8.0078125</c:v>
                </c:pt>
                <c:pt idx="35">
                  <c:v>8.984375</c:v>
                </c:pt>
                <c:pt idx="36">
                  <c:v>8.0729166666666679</c:v>
                </c:pt>
                <c:pt idx="37">
                  <c:v>8.4635416666666679</c:v>
                </c:pt>
                <c:pt idx="38">
                  <c:v>7.682291666666667</c:v>
                </c:pt>
                <c:pt idx="39">
                  <c:v>9.765625</c:v>
                </c:pt>
                <c:pt idx="40">
                  <c:v>8.5286458333333339</c:v>
                </c:pt>
                <c:pt idx="41">
                  <c:v>7.291666666666667</c:v>
                </c:pt>
                <c:pt idx="42">
                  <c:v>6.9010416666666661</c:v>
                </c:pt>
                <c:pt idx="43">
                  <c:v>5.078125</c:v>
                </c:pt>
                <c:pt idx="44">
                  <c:v>4.3619791666666661</c:v>
                </c:pt>
                <c:pt idx="45">
                  <c:v>3.841145833333333</c:v>
                </c:pt>
                <c:pt idx="46">
                  <c:v>3.3854166666666665</c:v>
                </c:pt>
                <c:pt idx="47">
                  <c:v>3.3854166666666665</c:v>
                </c:pt>
                <c:pt idx="48">
                  <c:v>5.013020833333333</c:v>
                </c:pt>
                <c:pt idx="49">
                  <c:v>5.143229166666667</c:v>
                </c:pt>
                <c:pt idx="50">
                  <c:v>4.8177083333333339</c:v>
                </c:pt>
                <c:pt idx="51">
                  <c:v>3.7109375</c:v>
                </c:pt>
                <c:pt idx="52">
                  <c:v>2.2135416666666665</c:v>
                </c:pt>
                <c:pt idx="53">
                  <c:v>2.083333333333333</c:v>
                </c:pt>
                <c:pt idx="54">
                  <c:v>2.1484375</c:v>
                </c:pt>
                <c:pt idx="55">
                  <c:v>1.1067708333333333</c:v>
                </c:pt>
                <c:pt idx="56">
                  <c:v>1.3671874999999998</c:v>
                </c:pt>
                <c:pt idx="57">
                  <c:v>0.78124999999999989</c:v>
                </c:pt>
                <c:pt idx="58">
                  <c:v>1.3671874999999998</c:v>
                </c:pt>
                <c:pt idx="59">
                  <c:v>1.0416666666666667</c:v>
                </c:pt>
                <c:pt idx="60">
                  <c:v>2.0182291666666665</c:v>
                </c:pt>
                <c:pt idx="61">
                  <c:v>1.4973958333333333</c:v>
                </c:pt>
                <c:pt idx="62">
                  <c:v>1.5624999999999998</c:v>
                </c:pt>
                <c:pt idx="63">
                  <c:v>0.84635416666666652</c:v>
                </c:pt>
                <c:pt idx="64">
                  <c:v>1.1718749999999998</c:v>
                </c:pt>
                <c:pt idx="65">
                  <c:v>0.39062499999999994</c:v>
                </c:pt>
                <c:pt idx="66">
                  <c:v>0.26041666666666663</c:v>
                </c:pt>
                <c:pt idx="67">
                  <c:v>0.39062499999999994</c:v>
                </c:pt>
                <c:pt idx="68">
                  <c:v>1.0416666666666665</c:v>
                </c:pt>
                <c:pt idx="69">
                  <c:v>0.39062499999999994</c:v>
                </c:pt>
                <c:pt idx="70">
                  <c:v>0.13020833333333331</c:v>
                </c:pt>
                <c:pt idx="71">
                  <c:v>0</c:v>
                </c:pt>
                <c:pt idx="72">
                  <c:v>0</c:v>
                </c:pt>
                <c:pt idx="73">
                  <c:v>6.5104166666666657E-2</c:v>
                </c:pt>
                <c:pt idx="74">
                  <c:v>0.19531249999999997</c:v>
                </c:pt>
                <c:pt idx="75">
                  <c:v>0.52083333333333326</c:v>
                </c:pt>
                <c:pt idx="76">
                  <c:v>0.19531249999999997</c:v>
                </c:pt>
                <c:pt idx="77">
                  <c:v>6.5104166666666657E-2</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numCache>
            </c:numRef>
          </c:val>
          <c:smooth val="0"/>
          <c:extLst>
            <c:ext xmlns:c16="http://schemas.microsoft.com/office/drawing/2014/chart" uri="{C3380CC4-5D6E-409C-BE32-E72D297353CC}">
              <c16:uniqueId val="{00000000-8D71-4AAB-8A8C-F8C37839B0E2}"/>
            </c:ext>
          </c:extLst>
        </c:ser>
        <c:ser>
          <c:idx val="2"/>
          <c:order val="1"/>
          <c:tx>
            <c:strRef>
              <c:f>'[2015-Tabel 15 og Figur 11. Tilflytningsprofiler.xlsx]Ark1'!$B$9</c:f>
              <c:strCache>
                <c:ptCount val="1"/>
                <c:pt idx="0">
                  <c:v>Række</c:v>
                </c:pt>
              </c:strCache>
            </c:strRef>
          </c:tx>
          <c:marker>
            <c:symbol val="none"/>
          </c:marker>
          <c:cat>
            <c:numRef>
              <c:f>'[2015-Tabel 15 og Figur 11. Tilflytningsprofiler.xlsx]Ark1'!$D$7:$CY$7</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'[2015-Tabel 15 og Figur 11. Tilflytningsprofiler.xlsx]Ark1'!$D$9:$CY$9</c:f>
              <c:numCache>
                <c:formatCode>General</c:formatCode>
                <c:ptCount val="100"/>
                <c:pt idx="0">
                  <c:v>3.7414965986394564</c:v>
                </c:pt>
                <c:pt idx="1">
                  <c:v>4.3764172335600904</c:v>
                </c:pt>
                <c:pt idx="2">
                  <c:v>4.6981292517006814</c:v>
                </c:pt>
                <c:pt idx="3">
                  <c:v>5.3571428571428577</c:v>
                </c:pt>
                <c:pt idx="4">
                  <c:v>4.2091836734693882</c:v>
                </c:pt>
                <c:pt idx="5">
                  <c:v>4.6768707482993195</c:v>
                </c:pt>
                <c:pt idx="6">
                  <c:v>4.1879251700680271</c:v>
                </c:pt>
                <c:pt idx="7">
                  <c:v>3.5501700680272106</c:v>
                </c:pt>
                <c:pt idx="8">
                  <c:v>3.3375850340136051</c:v>
                </c:pt>
                <c:pt idx="9">
                  <c:v>3.0399659863945581</c:v>
                </c:pt>
                <c:pt idx="10">
                  <c:v>2.3384353741496597</c:v>
                </c:pt>
                <c:pt idx="11">
                  <c:v>1.5731292517006803</c:v>
                </c:pt>
                <c:pt idx="12">
                  <c:v>1.6156462585034015</c:v>
                </c:pt>
                <c:pt idx="13">
                  <c:v>1.7219387755102038</c:v>
                </c:pt>
                <c:pt idx="14">
                  <c:v>2.3596938775510203</c:v>
                </c:pt>
                <c:pt idx="15">
                  <c:v>2.4872448979591835</c:v>
                </c:pt>
                <c:pt idx="16">
                  <c:v>2.6360544217687072</c:v>
                </c:pt>
                <c:pt idx="17">
                  <c:v>2.0833333333333335</c:v>
                </c:pt>
                <c:pt idx="18">
                  <c:v>1.5306122448979593</c:v>
                </c:pt>
                <c:pt idx="19">
                  <c:v>0.80782312925170063</c:v>
                </c:pt>
                <c:pt idx="20">
                  <c:v>0.76530612244897966</c:v>
                </c:pt>
                <c:pt idx="21">
                  <c:v>0.97789115646258506</c:v>
                </c:pt>
                <c:pt idx="22">
                  <c:v>1.1904761904761905</c:v>
                </c:pt>
                <c:pt idx="23">
                  <c:v>1.6581632653061225</c:v>
                </c:pt>
                <c:pt idx="24">
                  <c:v>1.6581632653061227</c:v>
                </c:pt>
                <c:pt idx="25">
                  <c:v>2.4872448979591839</c:v>
                </c:pt>
                <c:pt idx="26">
                  <c:v>2.8486394557823131</c:v>
                </c:pt>
                <c:pt idx="27">
                  <c:v>4.2729591836734695</c:v>
                </c:pt>
                <c:pt idx="28">
                  <c:v>5.7823129251700687</c:v>
                </c:pt>
                <c:pt idx="29">
                  <c:v>5.9098639455782305</c:v>
                </c:pt>
                <c:pt idx="30">
                  <c:v>5.5484693877551017</c:v>
                </c:pt>
                <c:pt idx="31">
                  <c:v>5.2933673469387754</c:v>
                </c:pt>
                <c:pt idx="32">
                  <c:v>5.5272108843537415</c:v>
                </c:pt>
                <c:pt idx="33">
                  <c:v>5.3996598639455788</c:v>
                </c:pt>
                <c:pt idx="34">
                  <c:v>3.6139455782312924</c:v>
                </c:pt>
                <c:pt idx="35">
                  <c:v>3.6352040816326534</c:v>
                </c:pt>
                <c:pt idx="36">
                  <c:v>3.7840136054421771</c:v>
                </c:pt>
                <c:pt idx="37">
                  <c:v>3.7414965986394559</c:v>
                </c:pt>
                <c:pt idx="38">
                  <c:v>4.4217687074829932</c:v>
                </c:pt>
                <c:pt idx="39">
                  <c:v>3.8690476190476191</c:v>
                </c:pt>
                <c:pt idx="40">
                  <c:v>4.2091836734693873</c:v>
                </c:pt>
                <c:pt idx="41">
                  <c:v>3.7840136054421771</c:v>
                </c:pt>
                <c:pt idx="42">
                  <c:v>3.3588435374149661</c:v>
                </c:pt>
                <c:pt idx="43">
                  <c:v>2.7423469387755106</c:v>
                </c:pt>
                <c:pt idx="44">
                  <c:v>1.8707482993197277</c:v>
                </c:pt>
                <c:pt idx="45">
                  <c:v>1.7644557823129252</c:v>
                </c:pt>
                <c:pt idx="46">
                  <c:v>2.4022108843537411</c:v>
                </c:pt>
                <c:pt idx="47">
                  <c:v>3.125</c:v>
                </c:pt>
                <c:pt idx="48">
                  <c:v>3.8903061224489797</c:v>
                </c:pt>
                <c:pt idx="49">
                  <c:v>3.4863945578231292</c:v>
                </c:pt>
                <c:pt idx="50">
                  <c:v>3.9328231292517009</c:v>
                </c:pt>
                <c:pt idx="51">
                  <c:v>3.5926870748299318</c:v>
                </c:pt>
                <c:pt idx="52">
                  <c:v>3.4013605442176873</c:v>
                </c:pt>
                <c:pt idx="53">
                  <c:v>1.8920068027210886</c:v>
                </c:pt>
                <c:pt idx="54">
                  <c:v>1.5943877551020409</c:v>
                </c:pt>
                <c:pt idx="55">
                  <c:v>1.7219387755102038</c:v>
                </c:pt>
                <c:pt idx="56">
                  <c:v>2.5085034013605441</c:v>
                </c:pt>
                <c:pt idx="57">
                  <c:v>2.614795918367347</c:v>
                </c:pt>
                <c:pt idx="58">
                  <c:v>2.9124149659863945</c:v>
                </c:pt>
                <c:pt idx="59">
                  <c:v>3.0187074829931975</c:v>
                </c:pt>
                <c:pt idx="60">
                  <c:v>3.1037414965986394</c:v>
                </c:pt>
                <c:pt idx="61">
                  <c:v>3.52891156462585</c:v>
                </c:pt>
                <c:pt idx="62">
                  <c:v>3.2950680272108843</c:v>
                </c:pt>
                <c:pt idx="63">
                  <c:v>2.9336734693877546</c:v>
                </c:pt>
                <c:pt idx="64">
                  <c:v>3.1675170068027207</c:v>
                </c:pt>
                <c:pt idx="65">
                  <c:v>3.1462585034013606</c:v>
                </c:pt>
                <c:pt idx="66">
                  <c:v>2.6785714285714284</c:v>
                </c:pt>
                <c:pt idx="67">
                  <c:v>2.2321428571428572</c:v>
                </c:pt>
                <c:pt idx="68">
                  <c:v>1.6794217687074831</c:v>
                </c:pt>
                <c:pt idx="69">
                  <c:v>2.7423469387755102</c:v>
                </c:pt>
                <c:pt idx="70">
                  <c:v>2.1683673469387759</c:v>
                </c:pt>
                <c:pt idx="71">
                  <c:v>1.7219387755102042</c:v>
                </c:pt>
                <c:pt idx="72">
                  <c:v>1.1904761904761905</c:v>
                </c:pt>
                <c:pt idx="73">
                  <c:v>1.4243197278911564</c:v>
                </c:pt>
                <c:pt idx="74">
                  <c:v>1.3818027210884352</c:v>
                </c:pt>
                <c:pt idx="75">
                  <c:v>1.4455782312925167</c:v>
                </c:pt>
                <c:pt idx="76">
                  <c:v>1.4880952380952381</c:v>
                </c:pt>
                <c:pt idx="77">
                  <c:v>1.7006802721088434</c:v>
                </c:pt>
                <c:pt idx="78">
                  <c:v>1.0204081632653059</c:v>
                </c:pt>
                <c:pt idx="79">
                  <c:v>1.0841836734693879</c:v>
                </c:pt>
                <c:pt idx="80">
                  <c:v>0.4464285714285714</c:v>
                </c:pt>
                <c:pt idx="81">
                  <c:v>0.40391156462585032</c:v>
                </c:pt>
                <c:pt idx="82">
                  <c:v>0.40391156462585032</c:v>
                </c:pt>
                <c:pt idx="83">
                  <c:v>0.14880952380952381</c:v>
                </c:pt>
                <c:pt idx="84">
                  <c:v>4.2517006802721087E-2</c:v>
                </c:pt>
                <c:pt idx="85">
                  <c:v>2.1258503401360544E-2</c:v>
                </c:pt>
                <c:pt idx="86">
                  <c:v>6.3775510204081634E-2</c:v>
                </c:pt>
                <c:pt idx="87">
                  <c:v>0.17006802721088435</c:v>
                </c:pt>
                <c:pt idx="88">
                  <c:v>6.3775510204081634E-2</c:v>
                </c:pt>
                <c:pt idx="89">
                  <c:v>2.1258503401360544E-2</c:v>
                </c:pt>
                <c:pt idx="90">
                  <c:v>0</c:v>
                </c:pt>
                <c:pt idx="91">
                  <c:v>0</c:v>
                </c:pt>
                <c:pt idx="92">
                  <c:v>0</c:v>
                </c:pt>
                <c:pt idx="93">
                  <c:v>0</c:v>
                </c:pt>
                <c:pt idx="94">
                  <c:v>0</c:v>
                </c:pt>
                <c:pt idx="95">
                  <c:v>0</c:v>
                </c:pt>
                <c:pt idx="96">
                  <c:v>0</c:v>
                </c:pt>
                <c:pt idx="97">
                  <c:v>0</c:v>
                </c:pt>
                <c:pt idx="98">
                  <c:v>0</c:v>
                </c:pt>
                <c:pt idx="99">
                  <c:v>0</c:v>
                </c:pt>
              </c:numCache>
            </c:numRef>
          </c:val>
          <c:smooth val="0"/>
          <c:extLst>
            <c:ext xmlns:c16="http://schemas.microsoft.com/office/drawing/2014/chart" uri="{C3380CC4-5D6E-409C-BE32-E72D297353CC}">
              <c16:uniqueId val="{00000001-8D71-4AAB-8A8C-F8C37839B0E2}"/>
            </c:ext>
          </c:extLst>
        </c:ser>
        <c:ser>
          <c:idx val="3"/>
          <c:order val="2"/>
          <c:tx>
            <c:strRef>
              <c:f>'[2015-Tabel 15 og Figur 11. Tilflytningsprofiler.xlsx]Ark1'!$B$10</c:f>
              <c:strCache>
                <c:ptCount val="1"/>
                <c:pt idx="0">
                  <c:v>Etage</c:v>
                </c:pt>
              </c:strCache>
            </c:strRef>
          </c:tx>
          <c:marker>
            <c:symbol val="none"/>
          </c:marker>
          <c:cat>
            <c:numRef>
              <c:f>'[2015-Tabel 15 og Figur 11. Tilflytningsprofiler.xlsx]Ark1'!$D$7:$CY$7</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'[2015-Tabel 15 og Figur 11. Tilflytningsprofiler.xlsx]Ark1'!$D$10:$CY$10</c:f>
              <c:numCache>
                <c:formatCode>General</c:formatCode>
                <c:ptCount val="100"/>
                <c:pt idx="0">
                  <c:v>3.7777777777777777</c:v>
                </c:pt>
                <c:pt idx="1">
                  <c:v>4.5014245014245011</c:v>
                </c:pt>
                <c:pt idx="2">
                  <c:v>4.6560846560846567</c:v>
                </c:pt>
                <c:pt idx="3">
                  <c:v>4.5502645502645507</c:v>
                </c:pt>
                <c:pt idx="4">
                  <c:v>3.8624338624338628</c:v>
                </c:pt>
                <c:pt idx="5">
                  <c:v>2.9100529100529102</c:v>
                </c:pt>
                <c:pt idx="6">
                  <c:v>3.2275132275132274</c:v>
                </c:pt>
                <c:pt idx="7">
                  <c:v>2.6984126984126986</c:v>
                </c:pt>
                <c:pt idx="8">
                  <c:v>2.486772486772487</c:v>
                </c:pt>
                <c:pt idx="9">
                  <c:v>3.1746031746031744</c:v>
                </c:pt>
                <c:pt idx="10">
                  <c:v>2.1693121693121693</c:v>
                </c:pt>
                <c:pt idx="11">
                  <c:v>1.7989417989417988</c:v>
                </c:pt>
                <c:pt idx="12">
                  <c:v>1.3756613756613756</c:v>
                </c:pt>
                <c:pt idx="13">
                  <c:v>1.7460317460317458</c:v>
                </c:pt>
                <c:pt idx="14">
                  <c:v>2.486772486772487</c:v>
                </c:pt>
                <c:pt idx="15">
                  <c:v>3.1216931216931214</c:v>
                </c:pt>
                <c:pt idx="16">
                  <c:v>3.8624338624338628</c:v>
                </c:pt>
                <c:pt idx="17">
                  <c:v>3.4920634920634916</c:v>
                </c:pt>
                <c:pt idx="18">
                  <c:v>2.4338624338624339</c:v>
                </c:pt>
                <c:pt idx="19">
                  <c:v>3.0158730158730158</c:v>
                </c:pt>
                <c:pt idx="20">
                  <c:v>3.0687830687830688</c:v>
                </c:pt>
                <c:pt idx="21">
                  <c:v>3.7566137566137567</c:v>
                </c:pt>
                <c:pt idx="22">
                  <c:v>3.9153439153439153</c:v>
                </c:pt>
                <c:pt idx="23">
                  <c:v>4.5502645502645498</c:v>
                </c:pt>
                <c:pt idx="24">
                  <c:v>4.5502645502645507</c:v>
                </c:pt>
                <c:pt idx="25">
                  <c:v>5.3439153439153442</c:v>
                </c:pt>
                <c:pt idx="26">
                  <c:v>6.9312169312169312</c:v>
                </c:pt>
                <c:pt idx="27">
                  <c:v>6.8253968253968251</c:v>
                </c:pt>
                <c:pt idx="28">
                  <c:v>6.5608465608465618</c:v>
                </c:pt>
                <c:pt idx="29">
                  <c:v>7.2486772486772484</c:v>
                </c:pt>
                <c:pt idx="30">
                  <c:v>6.3492063492063497</c:v>
                </c:pt>
                <c:pt idx="31">
                  <c:v>4.867724867724867</c:v>
                </c:pt>
                <c:pt idx="32">
                  <c:v>4.1269841269841265</c:v>
                </c:pt>
                <c:pt idx="33">
                  <c:v>3.5978835978835981</c:v>
                </c:pt>
                <c:pt idx="34">
                  <c:v>3.5978835978835977</c:v>
                </c:pt>
                <c:pt idx="35">
                  <c:v>3.1746031746031749</c:v>
                </c:pt>
                <c:pt idx="36">
                  <c:v>3.5449735449735447</c:v>
                </c:pt>
                <c:pt idx="37">
                  <c:v>3.8624338624338628</c:v>
                </c:pt>
                <c:pt idx="38">
                  <c:v>4.2328042328042326</c:v>
                </c:pt>
                <c:pt idx="39">
                  <c:v>3.7566137566137567</c:v>
                </c:pt>
                <c:pt idx="40">
                  <c:v>3.6507936507936507</c:v>
                </c:pt>
                <c:pt idx="41">
                  <c:v>2.9629629629629632</c:v>
                </c:pt>
                <c:pt idx="42">
                  <c:v>2.7513227513227507</c:v>
                </c:pt>
                <c:pt idx="43">
                  <c:v>2.1164021164021163</c:v>
                </c:pt>
                <c:pt idx="44">
                  <c:v>2.5925925925925926</c:v>
                </c:pt>
                <c:pt idx="45">
                  <c:v>2.8042328042328042</c:v>
                </c:pt>
                <c:pt idx="46">
                  <c:v>2.7513227513227512</c:v>
                </c:pt>
                <c:pt idx="47">
                  <c:v>2.0105820105820107</c:v>
                </c:pt>
                <c:pt idx="48">
                  <c:v>2.1693121693121693</c:v>
                </c:pt>
                <c:pt idx="49">
                  <c:v>2.3809523809523809</c:v>
                </c:pt>
                <c:pt idx="50">
                  <c:v>2.2222222222222219</c:v>
                </c:pt>
                <c:pt idx="51">
                  <c:v>2.0105820105820107</c:v>
                </c:pt>
                <c:pt idx="52">
                  <c:v>2.1693121693121693</c:v>
                </c:pt>
                <c:pt idx="53">
                  <c:v>2.1693121693121697</c:v>
                </c:pt>
                <c:pt idx="54">
                  <c:v>1.5343915343915344</c:v>
                </c:pt>
                <c:pt idx="55">
                  <c:v>0.89947089947089953</c:v>
                </c:pt>
                <c:pt idx="56">
                  <c:v>0.95238095238095233</c:v>
                </c:pt>
                <c:pt idx="57">
                  <c:v>0.79365079365079361</c:v>
                </c:pt>
                <c:pt idx="58">
                  <c:v>0.634920634920635</c:v>
                </c:pt>
                <c:pt idx="59">
                  <c:v>0.58201058201058209</c:v>
                </c:pt>
                <c:pt idx="60">
                  <c:v>1.1111111111111112</c:v>
                </c:pt>
                <c:pt idx="61">
                  <c:v>1.7989417989417988</c:v>
                </c:pt>
                <c:pt idx="62">
                  <c:v>1.693121693121693</c:v>
                </c:pt>
                <c:pt idx="63">
                  <c:v>1.5873015873015872</c:v>
                </c:pt>
                <c:pt idx="64">
                  <c:v>1.9576719576719575</c:v>
                </c:pt>
                <c:pt idx="65">
                  <c:v>1.7989417989417988</c:v>
                </c:pt>
                <c:pt idx="66">
                  <c:v>1.8518518518518519</c:v>
                </c:pt>
                <c:pt idx="67">
                  <c:v>2.0105820105820107</c:v>
                </c:pt>
                <c:pt idx="68">
                  <c:v>1.8518518518518519</c:v>
                </c:pt>
                <c:pt idx="69">
                  <c:v>0.89947089947089942</c:v>
                </c:pt>
                <c:pt idx="70">
                  <c:v>0.52910052910052918</c:v>
                </c:pt>
                <c:pt idx="71">
                  <c:v>0.7407407407407407</c:v>
                </c:pt>
                <c:pt idx="72">
                  <c:v>0.79365079365079361</c:v>
                </c:pt>
                <c:pt idx="73">
                  <c:v>1.4285714285714286</c:v>
                </c:pt>
                <c:pt idx="74">
                  <c:v>1.9047619047619049</c:v>
                </c:pt>
                <c:pt idx="75">
                  <c:v>1.8518518518518519</c:v>
                </c:pt>
                <c:pt idx="76">
                  <c:v>1.0052910052910053</c:v>
                </c:pt>
                <c:pt idx="77">
                  <c:v>0.89947089947089953</c:v>
                </c:pt>
                <c:pt idx="78">
                  <c:v>1.4285714285714286</c:v>
                </c:pt>
                <c:pt idx="79">
                  <c:v>0.95238095238095244</c:v>
                </c:pt>
                <c:pt idx="80">
                  <c:v>0.47619047619047622</c:v>
                </c:pt>
                <c:pt idx="81">
                  <c:v>0.37037037037037035</c:v>
                </c:pt>
                <c:pt idx="82">
                  <c:v>0.634920634920635</c:v>
                </c:pt>
                <c:pt idx="83">
                  <c:v>0.37037037037037035</c:v>
                </c:pt>
                <c:pt idx="84">
                  <c:v>0.26455026455026459</c:v>
                </c:pt>
                <c:pt idx="85">
                  <c:v>0.3174603174603175</c:v>
                </c:pt>
                <c:pt idx="86">
                  <c:v>0.15873015873015875</c:v>
                </c:pt>
                <c:pt idx="87">
                  <c:v>5.2910052910052914E-2</c:v>
                </c:pt>
                <c:pt idx="88">
                  <c:v>0</c:v>
                </c:pt>
                <c:pt idx="89">
                  <c:v>0</c:v>
                </c:pt>
                <c:pt idx="90">
                  <c:v>0</c:v>
                </c:pt>
                <c:pt idx="91">
                  <c:v>0</c:v>
                </c:pt>
                <c:pt idx="92">
                  <c:v>0</c:v>
                </c:pt>
                <c:pt idx="93">
                  <c:v>0</c:v>
                </c:pt>
                <c:pt idx="94">
                  <c:v>0</c:v>
                </c:pt>
                <c:pt idx="95">
                  <c:v>0</c:v>
                </c:pt>
                <c:pt idx="96">
                  <c:v>0</c:v>
                </c:pt>
                <c:pt idx="97">
                  <c:v>0</c:v>
                </c:pt>
                <c:pt idx="98">
                  <c:v>0</c:v>
                </c:pt>
                <c:pt idx="99">
                  <c:v>0</c:v>
                </c:pt>
              </c:numCache>
            </c:numRef>
          </c:val>
          <c:smooth val="0"/>
          <c:extLst>
            <c:ext xmlns:c16="http://schemas.microsoft.com/office/drawing/2014/chart" uri="{C3380CC4-5D6E-409C-BE32-E72D297353CC}">
              <c16:uniqueId val="{00000002-8D71-4AAB-8A8C-F8C37839B0E2}"/>
            </c:ext>
          </c:extLst>
        </c:ser>
        <c:ser>
          <c:idx val="4"/>
          <c:order val="3"/>
          <c:tx>
            <c:strRef>
              <c:f>'[2015-Tabel 15 og Figur 11. Tilflytningsprofiler.xlsx]Ark1'!$B$11</c:f>
              <c:strCache>
                <c:ptCount val="1"/>
                <c:pt idx="0">
                  <c:v>Kollegium</c:v>
                </c:pt>
              </c:strCache>
            </c:strRef>
          </c:tx>
          <c:marker>
            <c:symbol val="none"/>
          </c:marker>
          <c:cat>
            <c:numRef>
              <c:f>'[2015-Tabel 15 og Figur 11. Tilflytningsprofiler.xlsx]Ark1'!$D$7:$CY$7</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'[2015-Tabel 15 og Figur 11. Tilflytningsprofiler.xlsx]Ark1'!$D$11:$CY$11</c:f>
              <c:numCache>
                <c:formatCode>General</c:formatCode>
                <c:ptCount val="1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0.94696969696969702</c:v>
                </c:pt>
                <c:pt idx="17">
                  <c:v>3.5097159090909091</c:v>
                </c:pt>
                <c:pt idx="18">
                  <c:v>9.7715719696969696</c:v>
                </c:pt>
                <c:pt idx="19">
                  <c:v>10.46409090909091</c:v>
                </c:pt>
                <c:pt idx="20">
                  <c:v>10.529147727272727</c:v>
                </c:pt>
                <c:pt idx="21">
                  <c:v>18.09304924242424</c:v>
                </c:pt>
                <c:pt idx="22">
                  <c:v>14.393939393939394</c:v>
                </c:pt>
                <c:pt idx="23">
                  <c:v>9.2803030303030294</c:v>
                </c:pt>
                <c:pt idx="24">
                  <c:v>6.8181818181818183</c:v>
                </c:pt>
                <c:pt idx="25">
                  <c:v>6.4393939393939394</c:v>
                </c:pt>
                <c:pt idx="26">
                  <c:v>4.9242424242424239</c:v>
                </c:pt>
                <c:pt idx="27">
                  <c:v>4.7348484848484844</c:v>
                </c:pt>
                <c:pt idx="28">
                  <c:v>3.5984848484848486</c:v>
                </c:pt>
                <c:pt idx="29">
                  <c:v>3.0303030303030303</c:v>
                </c:pt>
                <c:pt idx="30">
                  <c:v>0.94696969696969691</c:v>
                </c:pt>
                <c:pt idx="31">
                  <c:v>0.18939393939393939</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numCache>
            </c:numRef>
          </c:val>
          <c:smooth val="0"/>
          <c:extLst>
            <c:ext xmlns:c16="http://schemas.microsoft.com/office/drawing/2014/chart" uri="{C3380CC4-5D6E-409C-BE32-E72D297353CC}">
              <c16:uniqueId val="{00000003-8D71-4AAB-8A8C-F8C37839B0E2}"/>
            </c:ext>
          </c:extLst>
        </c:ser>
        <c:ser>
          <c:idx val="5"/>
          <c:order val="4"/>
          <c:tx>
            <c:strRef>
              <c:f>'[2015-Tabel 15 og Figur 11. Tilflytningsprofiler.xlsx]Ark1'!$B$12</c:f>
              <c:strCache>
                <c:ptCount val="1"/>
                <c:pt idx="0">
                  <c:v>Ældreboliger</c:v>
                </c:pt>
              </c:strCache>
            </c:strRef>
          </c:tx>
          <c:marker>
            <c:symbol val="none"/>
          </c:marker>
          <c:cat>
            <c:numRef>
              <c:f>'[2015-Tabel 15 og Figur 11. Tilflytningsprofiler.xlsx]Ark1'!$D$7:$CY$7</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'[2015-Tabel 15 og Figur 11. Tilflytningsprofiler.xlsx]Ark1'!$D$12:$CY$12</c:f>
              <c:numCache>
                <c:formatCode>General</c:formatCode>
                <c:ptCount val="1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0.1170366324659618</c:v>
                </c:pt>
                <c:pt idx="51">
                  <c:v>0.1170366324659618</c:v>
                </c:pt>
                <c:pt idx="52">
                  <c:v>0.32185073928139496</c:v>
                </c:pt>
                <c:pt idx="53">
                  <c:v>0.38036905551437583</c:v>
                </c:pt>
                <c:pt idx="54">
                  <c:v>0.32185073928139496</c:v>
                </c:pt>
                <c:pt idx="55">
                  <c:v>0.58518316232980905</c:v>
                </c:pt>
                <c:pt idx="56">
                  <c:v>0.46814652986384719</c:v>
                </c:pt>
                <c:pt idx="57">
                  <c:v>0.38036905551437583</c:v>
                </c:pt>
                <c:pt idx="58">
                  <c:v>0.67296063667928041</c:v>
                </c:pt>
                <c:pt idx="59">
                  <c:v>0.64370147856278992</c:v>
                </c:pt>
                <c:pt idx="60">
                  <c:v>0.32185073928139496</c:v>
                </c:pt>
                <c:pt idx="61">
                  <c:v>0.49740568798033769</c:v>
                </c:pt>
                <c:pt idx="62">
                  <c:v>1.2581437990090891</c:v>
                </c:pt>
                <c:pt idx="63">
                  <c:v>1.8433269613388985</c:v>
                </c:pt>
                <c:pt idx="64">
                  <c:v>1.1703663246596181</c:v>
                </c:pt>
                <c:pt idx="65">
                  <c:v>1.1996254827761086</c:v>
                </c:pt>
                <c:pt idx="66">
                  <c:v>0.96555221784418477</c:v>
                </c:pt>
                <c:pt idx="67">
                  <c:v>0.90703390161120412</c:v>
                </c:pt>
                <c:pt idx="68">
                  <c:v>0.76073811102875155</c:v>
                </c:pt>
                <c:pt idx="69">
                  <c:v>1.0240705340771659</c:v>
                </c:pt>
                <c:pt idx="70">
                  <c:v>0.78999726914524226</c:v>
                </c:pt>
                <c:pt idx="71">
                  <c:v>0.96555221784418477</c:v>
                </c:pt>
                <c:pt idx="72">
                  <c:v>0.58518316232980905</c:v>
                </c:pt>
                <c:pt idx="73">
                  <c:v>0.99481137596067537</c:v>
                </c:pt>
                <c:pt idx="74">
                  <c:v>0.93629305972769439</c:v>
                </c:pt>
                <c:pt idx="75">
                  <c:v>1.5214762220575033</c:v>
                </c:pt>
                <c:pt idx="76">
                  <c:v>1.6385128545234651</c:v>
                </c:pt>
                <c:pt idx="77">
                  <c:v>2.077400226270822</c:v>
                </c:pt>
                <c:pt idx="78">
                  <c:v>2.1359185425038025</c:v>
                </c:pt>
                <c:pt idx="79">
                  <c:v>2.4577692817851977</c:v>
                </c:pt>
                <c:pt idx="80">
                  <c:v>2.3114734912027464</c:v>
                </c:pt>
                <c:pt idx="81">
                  <c:v>2.2822143330862552</c:v>
                </c:pt>
                <c:pt idx="82">
                  <c:v>2.7796200210665929</c:v>
                </c:pt>
                <c:pt idx="83">
                  <c:v>3.9499863457262108</c:v>
                </c:pt>
                <c:pt idx="84">
                  <c:v>4.388873717473567</c:v>
                </c:pt>
                <c:pt idx="85">
                  <c:v>5.3544259353177521</c:v>
                </c:pt>
                <c:pt idx="86">
                  <c:v>5.9103499395310708</c:v>
                </c:pt>
                <c:pt idx="87">
                  <c:v>5.0325751960363574</c:v>
                </c:pt>
                <c:pt idx="88">
                  <c:v>5.4422034096672238</c:v>
                </c:pt>
                <c:pt idx="89">
                  <c:v>4.5059103499395281</c:v>
                </c:pt>
                <c:pt idx="90">
                  <c:v>4.154800452541644</c:v>
                </c:pt>
                <c:pt idx="91">
                  <c:v>4.1840596106581343</c:v>
                </c:pt>
                <c:pt idx="92">
                  <c:v>4.8570202473374149</c:v>
                </c:pt>
                <c:pt idx="93">
                  <c:v>3.9499863457262108</c:v>
                </c:pt>
                <c:pt idx="94">
                  <c:v>3.6281356064448156</c:v>
                </c:pt>
                <c:pt idx="95">
                  <c:v>2.5748059142511601</c:v>
                </c:pt>
                <c:pt idx="96">
                  <c:v>1.9603635938048602</c:v>
                </c:pt>
                <c:pt idx="97">
                  <c:v>2.0598447314009278</c:v>
                </c:pt>
                <c:pt idx="98">
                  <c:v>1.9506105410993635</c:v>
                </c:pt>
                <c:pt idx="99">
                  <c:v>0.66320758397378365</c:v>
                </c:pt>
              </c:numCache>
            </c:numRef>
          </c:val>
          <c:smooth val="0"/>
          <c:extLst>
            <c:ext xmlns:c16="http://schemas.microsoft.com/office/drawing/2014/chart" uri="{C3380CC4-5D6E-409C-BE32-E72D297353CC}">
              <c16:uniqueId val="{00000004-8D71-4AAB-8A8C-F8C37839B0E2}"/>
            </c:ext>
          </c:extLst>
        </c:ser>
        <c:dLbls>
          <c:showLegendKey val="0"/>
          <c:showVal val="0"/>
          <c:showCatName val="0"/>
          <c:showSerName val="0"/>
          <c:showPercent val="0"/>
          <c:showBubbleSize val="0"/>
        </c:dLbls>
        <c:smooth val="0"/>
        <c:axId val="169402368"/>
        <c:axId val="169403904"/>
      </c:lineChart>
      <c:catAx>
        <c:axId val="169402368"/>
        <c:scaling>
          <c:orientation val="minMax"/>
        </c:scaling>
        <c:delete val="0"/>
        <c:axPos val="b"/>
        <c:numFmt formatCode="General" sourceLinked="1"/>
        <c:majorTickMark val="none"/>
        <c:minorTickMark val="none"/>
        <c:tickLblPos val="nextTo"/>
        <c:crossAx val="169403904"/>
        <c:crosses val="autoZero"/>
        <c:auto val="1"/>
        <c:lblAlgn val="ctr"/>
        <c:lblOffset val="100"/>
        <c:noMultiLvlLbl val="0"/>
      </c:catAx>
      <c:valAx>
        <c:axId val="169403904"/>
        <c:scaling>
          <c:orientation val="minMax"/>
        </c:scaling>
        <c:delete val="0"/>
        <c:axPos val="l"/>
        <c:majorGridlines/>
        <c:numFmt formatCode="General" sourceLinked="1"/>
        <c:majorTickMark val="none"/>
        <c:minorTickMark val="none"/>
        <c:tickLblPos val="nextTo"/>
        <c:spPr>
          <a:ln w="9525">
            <a:noFill/>
          </a:ln>
        </c:spPr>
        <c:crossAx val="16940236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714451379327771E-2"/>
          <c:y val="3.5087719298245612E-2"/>
          <c:w val="0.8161624170614753"/>
          <c:h val="0.89683657963807151"/>
        </c:manualLayout>
      </c:layout>
      <c:lineChart>
        <c:grouping val="standard"/>
        <c:varyColors val="0"/>
        <c:ser>
          <c:idx val="0"/>
          <c:order val="0"/>
          <c:tx>
            <c:strRef>
              <c:f>'SUMTAB stor'!$A$50</c:f>
              <c:strCache>
                <c:ptCount val="1"/>
                <c:pt idx="0">
                  <c:v>Forblivelsesrate</c:v>
                </c:pt>
              </c:strCache>
            </c:strRef>
          </c:tx>
          <c:spPr>
            <a:ln>
              <a:prstDash val="sysDot"/>
            </a:ln>
          </c:spPr>
          <c:marker>
            <c:symbol val="none"/>
          </c:marker>
          <c:dPt>
            <c:idx val="0"/>
            <c:bubble3D val="0"/>
            <c:spPr>
              <a:ln>
                <a:prstDash val="solid"/>
              </a:ln>
            </c:spPr>
            <c:extLst>
              <c:ext xmlns:c16="http://schemas.microsoft.com/office/drawing/2014/chart" uri="{C3380CC4-5D6E-409C-BE32-E72D297353CC}">
                <c16:uniqueId val="{00000001-B13A-496C-A1B8-9D17EDCC401C}"/>
              </c:ext>
            </c:extLst>
          </c:dPt>
          <c:dPt>
            <c:idx val="1"/>
            <c:bubble3D val="0"/>
            <c:spPr>
              <a:ln>
                <a:prstDash val="solid"/>
              </a:ln>
            </c:spPr>
            <c:extLst>
              <c:ext xmlns:c16="http://schemas.microsoft.com/office/drawing/2014/chart" uri="{C3380CC4-5D6E-409C-BE32-E72D297353CC}">
                <c16:uniqueId val="{00000003-B13A-496C-A1B8-9D17EDCC401C}"/>
              </c:ext>
            </c:extLst>
          </c:dPt>
          <c:dPt>
            <c:idx val="2"/>
            <c:bubble3D val="0"/>
            <c:spPr>
              <a:ln>
                <a:prstDash val="solid"/>
              </a:ln>
            </c:spPr>
            <c:extLst>
              <c:ext xmlns:c16="http://schemas.microsoft.com/office/drawing/2014/chart" uri="{C3380CC4-5D6E-409C-BE32-E72D297353CC}">
                <c16:uniqueId val="{00000005-B13A-496C-A1B8-9D17EDCC401C}"/>
              </c:ext>
            </c:extLst>
          </c:dPt>
          <c:dPt>
            <c:idx val="3"/>
            <c:bubble3D val="0"/>
            <c:spPr>
              <a:ln>
                <a:prstDash val="solid"/>
              </a:ln>
            </c:spPr>
            <c:extLst>
              <c:ext xmlns:c16="http://schemas.microsoft.com/office/drawing/2014/chart" uri="{C3380CC4-5D6E-409C-BE32-E72D297353CC}">
                <c16:uniqueId val="{00000007-B13A-496C-A1B8-9D17EDCC401C}"/>
              </c:ext>
            </c:extLst>
          </c:dPt>
          <c:dPt>
            <c:idx val="4"/>
            <c:bubble3D val="0"/>
            <c:spPr>
              <a:ln>
                <a:prstDash val="solid"/>
              </a:ln>
            </c:spPr>
            <c:extLst>
              <c:ext xmlns:c16="http://schemas.microsoft.com/office/drawing/2014/chart" uri="{C3380CC4-5D6E-409C-BE32-E72D297353CC}">
                <c16:uniqueId val="{00000009-B13A-496C-A1B8-9D17EDCC401C}"/>
              </c:ext>
            </c:extLst>
          </c:dPt>
          <c:dPt>
            <c:idx val="5"/>
            <c:bubble3D val="0"/>
            <c:spPr>
              <a:ln>
                <a:prstDash val="solid"/>
              </a:ln>
            </c:spPr>
            <c:extLst>
              <c:ext xmlns:c16="http://schemas.microsoft.com/office/drawing/2014/chart" uri="{C3380CC4-5D6E-409C-BE32-E72D297353CC}">
                <c16:uniqueId val="{0000000B-B13A-496C-A1B8-9D17EDCC401C}"/>
              </c:ext>
            </c:extLst>
          </c:dPt>
          <c:dPt>
            <c:idx val="6"/>
            <c:bubble3D val="0"/>
            <c:spPr>
              <a:ln>
                <a:prstDash val="solid"/>
              </a:ln>
            </c:spPr>
            <c:extLst>
              <c:ext xmlns:c16="http://schemas.microsoft.com/office/drawing/2014/chart" uri="{C3380CC4-5D6E-409C-BE32-E72D297353CC}">
                <c16:uniqueId val="{0000000D-B13A-496C-A1B8-9D17EDCC401C}"/>
              </c:ext>
            </c:extLst>
          </c:dPt>
          <c:dPt>
            <c:idx val="7"/>
            <c:bubble3D val="0"/>
            <c:spPr>
              <a:ln>
                <a:prstDash val="solid"/>
              </a:ln>
            </c:spPr>
            <c:extLst>
              <c:ext xmlns:c16="http://schemas.microsoft.com/office/drawing/2014/chart" uri="{C3380CC4-5D6E-409C-BE32-E72D297353CC}">
                <c16:uniqueId val="{0000000F-B13A-496C-A1B8-9D17EDCC401C}"/>
              </c:ext>
            </c:extLst>
          </c:dPt>
          <c:dPt>
            <c:idx val="8"/>
            <c:bubble3D val="0"/>
            <c:spPr>
              <a:ln>
                <a:prstDash val="solid"/>
              </a:ln>
            </c:spPr>
            <c:extLst>
              <c:ext xmlns:c16="http://schemas.microsoft.com/office/drawing/2014/chart" uri="{C3380CC4-5D6E-409C-BE32-E72D297353CC}">
                <c16:uniqueId val="{00000011-B13A-496C-A1B8-9D17EDCC401C}"/>
              </c:ext>
            </c:extLst>
          </c:dPt>
          <c:dPt>
            <c:idx val="9"/>
            <c:bubble3D val="0"/>
            <c:spPr/>
            <c:extLst>
              <c:ext xmlns:c16="http://schemas.microsoft.com/office/drawing/2014/chart" uri="{C3380CC4-5D6E-409C-BE32-E72D297353CC}">
                <c16:uniqueId val="{00000013-B13A-496C-A1B8-9D17EDCC401C}"/>
              </c:ext>
            </c:extLst>
          </c:dPt>
          <c:dPt>
            <c:idx val="10"/>
            <c:bubble3D val="0"/>
            <c:spPr>
              <a:ln>
                <a:prstDash val="solid"/>
              </a:ln>
            </c:spPr>
            <c:extLst>
              <c:ext xmlns:c16="http://schemas.microsoft.com/office/drawing/2014/chart" uri="{C3380CC4-5D6E-409C-BE32-E72D297353CC}">
                <c16:uniqueId val="{00000015-B13A-496C-A1B8-9D17EDCC401C}"/>
              </c:ext>
            </c:extLst>
          </c:dPt>
          <c:dPt>
            <c:idx val="11"/>
            <c:bubble3D val="0"/>
            <c:extLst>
              <c:ext xmlns:c16="http://schemas.microsoft.com/office/drawing/2014/chart" uri="{C3380CC4-5D6E-409C-BE32-E72D297353CC}">
                <c16:uniqueId val="{00000016-B13A-496C-A1B8-9D17EDCC401C}"/>
              </c:ext>
            </c:extLst>
          </c:dPt>
          <c:cat>
            <c:numRef>
              <c:f>'SUMTAB stor'!$E$45:$Z$45</c:f>
              <c:numCache>
                <c:formatCode>General</c:formatCode>
                <c:ptCount val="22"/>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pt idx="17">
                  <c:v>2026</c:v>
                </c:pt>
                <c:pt idx="18">
                  <c:v>2027</c:v>
                </c:pt>
                <c:pt idx="19">
                  <c:v>2028</c:v>
                </c:pt>
                <c:pt idx="20">
                  <c:v>2029</c:v>
                </c:pt>
                <c:pt idx="21">
                  <c:v>2030</c:v>
                </c:pt>
              </c:numCache>
            </c:numRef>
          </c:cat>
          <c:val>
            <c:numRef>
              <c:f>'SUMTAB stor'!$E$50:$Z$50</c:f>
              <c:numCache>
                <c:formatCode>0.0000</c:formatCode>
                <c:ptCount val="22"/>
                <c:pt idx="0">
                  <c:v>0.99908088235294112</c:v>
                </c:pt>
                <c:pt idx="1">
                  <c:v>1.0044445761355891</c:v>
                </c:pt>
                <c:pt idx="2">
                  <c:v>1.0023238711575231</c:v>
                </c:pt>
                <c:pt idx="3">
                  <c:v>1.0012031222489584</c:v>
                </c:pt>
                <c:pt idx="4">
                  <c:v>1.0105801549028204</c:v>
                </c:pt>
                <c:pt idx="5">
                  <c:v>1.0128972557184581</c:v>
                </c:pt>
                <c:pt idx="6">
                  <c:v>1.0072186715361791</c:v>
                </c:pt>
                <c:pt idx="7">
                  <c:v>1.0068502844849549</c:v>
                </c:pt>
                <c:pt idx="8">
                  <c:v>0.99761242661722982</c:v>
                </c:pt>
                <c:pt idx="9">
                  <c:v>0.99428828676739545</c:v>
                </c:pt>
                <c:pt idx="10">
                  <c:v>0.99126946006272432</c:v>
                </c:pt>
                <c:pt idx="11">
                  <c:v>1.000655382686499</c:v>
                </c:pt>
                <c:pt idx="12">
                  <c:v>0.99373919941074818</c:v>
                </c:pt>
                <c:pt idx="13">
                  <c:v>0.99310922025387083</c:v>
                </c:pt>
                <c:pt idx="14">
                  <c:v>0.99424801679251973</c:v>
                </c:pt>
                <c:pt idx="15">
                  <c:v>0.99459815546772068</c:v>
                </c:pt>
                <c:pt idx="16">
                  <c:v>0.99548585136843193</c:v>
                </c:pt>
                <c:pt idx="17">
                  <c:v>1.0001792344130074</c:v>
                </c:pt>
                <c:pt idx="18">
                  <c:v>0.9998975986892632</c:v>
                </c:pt>
                <c:pt idx="19">
                  <c:v>0.99971887858110353</c:v>
                </c:pt>
                <c:pt idx="20">
                  <c:v>1</c:v>
                </c:pt>
                <c:pt idx="21">
                  <c:v>1</c:v>
                </c:pt>
              </c:numCache>
            </c:numRef>
          </c:val>
          <c:smooth val="1"/>
          <c:extLst>
            <c:ext xmlns:c16="http://schemas.microsoft.com/office/drawing/2014/chart" uri="{C3380CC4-5D6E-409C-BE32-E72D297353CC}">
              <c16:uniqueId val="{00000017-B13A-496C-A1B8-9D17EDCC401C}"/>
            </c:ext>
          </c:extLst>
        </c:ser>
        <c:ser>
          <c:idx val="1"/>
          <c:order val="1"/>
          <c:spPr>
            <a:ln>
              <a:solidFill>
                <a:schemeClr val="tx1"/>
              </a:solidFill>
            </a:ln>
          </c:spPr>
          <c:marker>
            <c:symbol val="none"/>
          </c:marker>
          <c:cat>
            <c:numRef>
              <c:f>'SUMTAB stor'!$E$45:$Z$45</c:f>
              <c:numCache>
                <c:formatCode>General</c:formatCode>
                <c:ptCount val="22"/>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pt idx="17">
                  <c:v>2026</c:v>
                </c:pt>
                <c:pt idx="18">
                  <c:v>2027</c:v>
                </c:pt>
                <c:pt idx="19">
                  <c:v>2028</c:v>
                </c:pt>
                <c:pt idx="20">
                  <c:v>2029</c:v>
                </c:pt>
                <c:pt idx="21">
                  <c:v>2030</c:v>
                </c:pt>
              </c:numCache>
            </c:numRef>
          </c:cat>
          <c:val>
            <c:numRef>
              <c:f>'SUMTAB stor'!$E$51:$X$51</c:f>
              <c:numCache>
                <c:formatCode>General</c:formatCode>
                <c:ptCount val="2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val>
          <c:smooth val="0"/>
          <c:extLst>
            <c:ext xmlns:c16="http://schemas.microsoft.com/office/drawing/2014/chart" uri="{C3380CC4-5D6E-409C-BE32-E72D297353CC}">
              <c16:uniqueId val="{00000018-B13A-496C-A1B8-9D17EDCC401C}"/>
            </c:ext>
          </c:extLst>
        </c:ser>
        <c:dLbls>
          <c:showLegendKey val="0"/>
          <c:showVal val="0"/>
          <c:showCatName val="0"/>
          <c:showSerName val="0"/>
          <c:showPercent val="0"/>
          <c:showBubbleSize val="0"/>
        </c:dLbls>
        <c:smooth val="0"/>
        <c:axId val="45891584"/>
        <c:axId val="45893120"/>
      </c:lineChart>
      <c:catAx>
        <c:axId val="45891584"/>
        <c:scaling>
          <c:orientation val="minMax"/>
        </c:scaling>
        <c:delete val="0"/>
        <c:axPos val="b"/>
        <c:numFmt formatCode="General" sourceLinked="1"/>
        <c:majorTickMark val="out"/>
        <c:minorTickMark val="none"/>
        <c:tickLblPos val="nextTo"/>
        <c:crossAx val="45893120"/>
        <c:crosses val="autoZero"/>
        <c:auto val="1"/>
        <c:lblAlgn val="ctr"/>
        <c:lblOffset val="100"/>
        <c:tickLblSkip val="1"/>
        <c:noMultiLvlLbl val="0"/>
      </c:catAx>
      <c:valAx>
        <c:axId val="45893120"/>
        <c:scaling>
          <c:orientation val="minMax"/>
          <c:min val="0.98"/>
        </c:scaling>
        <c:delete val="0"/>
        <c:axPos val="l"/>
        <c:majorGridlines/>
        <c:numFmt formatCode="0.0000" sourceLinked="1"/>
        <c:majorTickMark val="out"/>
        <c:minorTickMark val="none"/>
        <c:tickLblPos val="nextTo"/>
        <c:crossAx val="45891584"/>
        <c:crosses val="autoZero"/>
        <c:crossBetween val="between"/>
      </c:valAx>
    </c:plotArea>
    <c:plotVisOnly val="1"/>
    <c:dispBlanksAs val="gap"/>
    <c:showDLblsOverMax val="0"/>
  </c:chart>
  <c:spPr>
    <a:ln>
      <a:noFill/>
    </a:ln>
  </c:spPr>
  <c:txPr>
    <a:bodyPr/>
    <a:lstStyle/>
    <a:p>
      <a:pPr>
        <a:defRPr sz="800"/>
      </a:pPr>
      <a:endParaRPr lang="da-D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'SUMTAB stor'!$A$16</c:f>
              <c:strCache>
                <c:ptCount val="1"/>
                <c:pt idx="0">
                  <c:v>Tilflyttede</c:v>
                </c:pt>
              </c:strCache>
            </c:strRef>
          </c:tx>
          <c:spPr>
            <a:ln>
              <a:solidFill>
                <a:srgbClr val="00B050"/>
              </a:solidFill>
              <a:prstDash val="sysDot"/>
            </a:ln>
          </c:spPr>
          <c:marker>
            <c:symbol val="none"/>
          </c:marker>
          <c:dPt>
            <c:idx val="1"/>
            <c:bubble3D val="0"/>
            <c:spPr>
              <a:ln>
                <a:solidFill>
                  <a:srgbClr val="00B050"/>
                </a:solidFill>
                <a:prstDash val="solid"/>
              </a:ln>
            </c:spPr>
            <c:extLst>
              <c:ext xmlns:c16="http://schemas.microsoft.com/office/drawing/2014/chart" uri="{C3380CC4-5D6E-409C-BE32-E72D297353CC}">
                <c16:uniqueId val="{00000001-ADDC-43C0-92D7-44ABFE3B571E}"/>
              </c:ext>
            </c:extLst>
          </c:dPt>
          <c:dPt>
            <c:idx val="2"/>
            <c:bubble3D val="0"/>
            <c:spPr>
              <a:ln>
                <a:solidFill>
                  <a:srgbClr val="00B050"/>
                </a:solidFill>
                <a:prstDash val="solid"/>
              </a:ln>
            </c:spPr>
            <c:extLst>
              <c:ext xmlns:c16="http://schemas.microsoft.com/office/drawing/2014/chart" uri="{C3380CC4-5D6E-409C-BE32-E72D297353CC}">
                <c16:uniqueId val="{00000003-ADDC-43C0-92D7-44ABFE3B571E}"/>
              </c:ext>
            </c:extLst>
          </c:dPt>
          <c:dPt>
            <c:idx val="3"/>
            <c:bubble3D val="0"/>
            <c:spPr>
              <a:ln>
                <a:solidFill>
                  <a:srgbClr val="00B050"/>
                </a:solidFill>
                <a:prstDash val="solid"/>
              </a:ln>
            </c:spPr>
            <c:extLst>
              <c:ext xmlns:c16="http://schemas.microsoft.com/office/drawing/2014/chart" uri="{C3380CC4-5D6E-409C-BE32-E72D297353CC}">
                <c16:uniqueId val="{00000005-ADDC-43C0-92D7-44ABFE3B571E}"/>
              </c:ext>
            </c:extLst>
          </c:dPt>
          <c:dPt>
            <c:idx val="4"/>
            <c:bubble3D val="0"/>
            <c:spPr>
              <a:ln>
                <a:solidFill>
                  <a:srgbClr val="00B050"/>
                </a:solidFill>
                <a:prstDash val="solid"/>
              </a:ln>
            </c:spPr>
            <c:extLst>
              <c:ext xmlns:c16="http://schemas.microsoft.com/office/drawing/2014/chart" uri="{C3380CC4-5D6E-409C-BE32-E72D297353CC}">
                <c16:uniqueId val="{00000007-ADDC-43C0-92D7-44ABFE3B571E}"/>
              </c:ext>
            </c:extLst>
          </c:dPt>
          <c:dPt>
            <c:idx val="5"/>
            <c:bubble3D val="0"/>
            <c:spPr>
              <a:ln>
                <a:solidFill>
                  <a:srgbClr val="00B050"/>
                </a:solidFill>
                <a:prstDash val="solid"/>
              </a:ln>
            </c:spPr>
            <c:extLst>
              <c:ext xmlns:c16="http://schemas.microsoft.com/office/drawing/2014/chart" uri="{C3380CC4-5D6E-409C-BE32-E72D297353CC}">
                <c16:uniqueId val="{00000009-ADDC-43C0-92D7-44ABFE3B571E}"/>
              </c:ext>
            </c:extLst>
          </c:dPt>
          <c:dPt>
            <c:idx val="6"/>
            <c:bubble3D val="0"/>
            <c:spPr>
              <a:ln>
                <a:solidFill>
                  <a:srgbClr val="00B050"/>
                </a:solidFill>
                <a:prstDash val="solid"/>
              </a:ln>
            </c:spPr>
            <c:extLst>
              <c:ext xmlns:c16="http://schemas.microsoft.com/office/drawing/2014/chart" uri="{C3380CC4-5D6E-409C-BE32-E72D297353CC}">
                <c16:uniqueId val="{0000000B-ADDC-43C0-92D7-44ABFE3B571E}"/>
              </c:ext>
            </c:extLst>
          </c:dPt>
          <c:dPt>
            <c:idx val="7"/>
            <c:bubble3D val="0"/>
            <c:spPr>
              <a:ln>
                <a:solidFill>
                  <a:srgbClr val="00B050"/>
                </a:solidFill>
                <a:prstDash val="solid"/>
              </a:ln>
            </c:spPr>
            <c:extLst>
              <c:ext xmlns:c16="http://schemas.microsoft.com/office/drawing/2014/chart" uri="{C3380CC4-5D6E-409C-BE32-E72D297353CC}">
                <c16:uniqueId val="{0000000D-ADDC-43C0-92D7-44ABFE3B571E}"/>
              </c:ext>
            </c:extLst>
          </c:dPt>
          <c:dPt>
            <c:idx val="8"/>
            <c:bubble3D val="0"/>
            <c:spPr>
              <a:ln>
                <a:solidFill>
                  <a:srgbClr val="00B050"/>
                </a:solidFill>
                <a:prstDash val="solid"/>
              </a:ln>
            </c:spPr>
            <c:extLst>
              <c:ext xmlns:c16="http://schemas.microsoft.com/office/drawing/2014/chart" uri="{C3380CC4-5D6E-409C-BE32-E72D297353CC}">
                <c16:uniqueId val="{0000000F-ADDC-43C0-92D7-44ABFE3B571E}"/>
              </c:ext>
            </c:extLst>
          </c:dPt>
          <c:dPt>
            <c:idx val="9"/>
            <c:bubble3D val="0"/>
            <c:spPr>
              <a:ln>
                <a:solidFill>
                  <a:srgbClr val="00B050"/>
                </a:solidFill>
              </a:ln>
            </c:spPr>
            <c:extLst>
              <c:ext xmlns:c16="http://schemas.microsoft.com/office/drawing/2014/chart" uri="{C3380CC4-5D6E-409C-BE32-E72D297353CC}">
                <c16:uniqueId val="{00000011-ADDC-43C0-92D7-44ABFE3B571E}"/>
              </c:ext>
            </c:extLst>
          </c:dPt>
          <c:dPt>
            <c:idx val="10"/>
            <c:bubble3D val="0"/>
            <c:spPr>
              <a:ln>
                <a:solidFill>
                  <a:srgbClr val="00B050"/>
                </a:solidFill>
                <a:prstDash val="solid"/>
              </a:ln>
            </c:spPr>
            <c:extLst>
              <c:ext xmlns:c16="http://schemas.microsoft.com/office/drawing/2014/chart" uri="{C3380CC4-5D6E-409C-BE32-E72D297353CC}">
                <c16:uniqueId val="{00000013-ADDC-43C0-92D7-44ABFE3B571E}"/>
              </c:ext>
            </c:extLst>
          </c:dPt>
          <c:dPt>
            <c:idx val="11"/>
            <c:bubble3D val="0"/>
            <c:spPr>
              <a:ln>
                <a:solidFill>
                  <a:srgbClr val="00B050"/>
                </a:solidFill>
                <a:prstDash val="solid"/>
              </a:ln>
            </c:spPr>
            <c:extLst>
              <c:ext xmlns:c16="http://schemas.microsoft.com/office/drawing/2014/chart" uri="{C3380CC4-5D6E-409C-BE32-E72D297353CC}">
                <c16:uniqueId val="{00000015-ADDC-43C0-92D7-44ABFE3B571E}"/>
              </c:ext>
            </c:extLst>
          </c:dPt>
          <c:dPt>
            <c:idx val="12"/>
            <c:bubble3D val="0"/>
            <c:spPr>
              <a:ln>
                <a:solidFill>
                  <a:srgbClr val="00B050"/>
                </a:solidFill>
                <a:prstDash val="solid"/>
              </a:ln>
            </c:spPr>
            <c:extLst>
              <c:ext xmlns:c16="http://schemas.microsoft.com/office/drawing/2014/chart" uri="{C3380CC4-5D6E-409C-BE32-E72D297353CC}">
                <c16:uniqueId val="{00000017-ADDC-43C0-92D7-44ABFE3B571E}"/>
              </c:ext>
            </c:extLst>
          </c:dPt>
          <c:cat>
            <c:numRef>
              <c:f>'SUMTAB stor'!$B$45:$Z$45</c:f>
              <c:numCache>
                <c:formatCode>General</c:formatCode>
                <c:ptCount val="2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pt idx="24">
                  <c:v>2030</c:v>
                </c:pt>
              </c:numCache>
            </c:numRef>
          </c:cat>
          <c:val>
            <c:numRef>
              <c:f>'SUMTAB stor'!$B$16:$Z$16</c:f>
              <c:numCache>
                <c:formatCode>0</c:formatCode>
                <c:ptCount val="25"/>
                <c:pt idx="0">
                  <c:v>2039</c:v>
                </c:pt>
                <c:pt idx="1">
                  <c:v>1929</c:v>
                </c:pt>
                <c:pt idx="2">
                  <c:v>2179</c:v>
                </c:pt>
                <c:pt idx="3">
                  <c:v>2217</c:v>
                </c:pt>
                <c:pt idx="4">
                  <c:v>2479</c:v>
                </c:pt>
                <c:pt idx="5">
                  <c:v>2264</c:v>
                </c:pt>
                <c:pt idx="6">
                  <c:v>2361</c:v>
                </c:pt>
                <c:pt idx="7">
                  <c:v>2627</c:v>
                </c:pt>
                <c:pt idx="8">
                  <c:v>2807</c:v>
                </c:pt>
                <c:pt idx="9">
                  <c:v>2864</c:v>
                </c:pt>
                <c:pt idx="10">
                  <c:v>2957</c:v>
                </c:pt>
                <c:pt idx="11">
                  <c:v>2915</c:v>
                </c:pt>
                <c:pt idx="12">
                  <c:v>2929</c:v>
                </c:pt>
                <c:pt idx="13">
                  <c:v>2738</c:v>
                </c:pt>
                <c:pt idx="14">
                  <c:v>2956</c:v>
                </c:pt>
                <c:pt idx="15">
                  <c:v>3555</c:v>
                </c:pt>
                <c:pt idx="16">
                  <c:v>3959</c:v>
                </c:pt>
                <c:pt idx="17">
                  <c:v>4492</c:v>
                </c:pt>
                <c:pt idx="18">
                  <c:v>4256</c:v>
                </c:pt>
                <c:pt idx="19">
                  <c:v>3787</c:v>
                </c:pt>
                <c:pt idx="20">
                  <c:v>3344</c:v>
                </c:pt>
                <c:pt idx="21">
                  <c:v>3340</c:v>
                </c:pt>
                <c:pt idx="22">
                  <c:v>3285</c:v>
                </c:pt>
                <c:pt idx="23">
                  <c:v>3181</c:v>
                </c:pt>
                <c:pt idx="24">
                  <c:v>3141</c:v>
                </c:pt>
              </c:numCache>
            </c:numRef>
          </c:val>
          <c:smooth val="1"/>
          <c:extLst>
            <c:ext xmlns:c16="http://schemas.microsoft.com/office/drawing/2014/chart" uri="{C3380CC4-5D6E-409C-BE32-E72D297353CC}">
              <c16:uniqueId val="{00000018-ADDC-43C0-92D7-44ABFE3B571E}"/>
            </c:ext>
          </c:extLst>
        </c:ser>
        <c:ser>
          <c:idx val="1"/>
          <c:order val="1"/>
          <c:tx>
            <c:strRef>
              <c:f>'SUMTAB stor'!$A$17</c:f>
              <c:strCache>
                <c:ptCount val="1"/>
                <c:pt idx="0">
                  <c:v>Fraflyttede</c:v>
                </c:pt>
              </c:strCache>
            </c:strRef>
          </c:tx>
          <c:spPr>
            <a:ln>
              <a:prstDash val="sysDot"/>
            </a:ln>
          </c:spPr>
          <c:marker>
            <c:symbol val="none"/>
          </c:marker>
          <c:dPt>
            <c:idx val="1"/>
            <c:bubble3D val="0"/>
            <c:spPr>
              <a:ln>
                <a:prstDash val="solid"/>
              </a:ln>
            </c:spPr>
            <c:extLst>
              <c:ext xmlns:c16="http://schemas.microsoft.com/office/drawing/2014/chart" uri="{C3380CC4-5D6E-409C-BE32-E72D297353CC}">
                <c16:uniqueId val="{0000001A-ADDC-43C0-92D7-44ABFE3B571E}"/>
              </c:ext>
            </c:extLst>
          </c:dPt>
          <c:dPt>
            <c:idx val="2"/>
            <c:bubble3D val="0"/>
            <c:spPr>
              <a:ln>
                <a:prstDash val="solid"/>
              </a:ln>
            </c:spPr>
            <c:extLst>
              <c:ext xmlns:c16="http://schemas.microsoft.com/office/drawing/2014/chart" uri="{C3380CC4-5D6E-409C-BE32-E72D297353CC}">
                <c16:uniqueId val="{0000001C-ADDC-43C0-92D7-44ABFE3B571E}"/>
              </c:ext>
            </c:extLst>
          </c:dPt>
          <c:dPt>
            <c:idx val="3"/>
            <c:bubble3D val="0"/>
            <c:spPr>
              <a:ln>
                <a:prstDash val="solid"/>
              </a:ln>
            </c:spPr>
            <c:extLst>
              <c:ext xmlns:c16="http://schemas.microsoft.com/office/drawing/2014/chart" uri="{C3380CC4-5D6E-409C-BE32-E72D297353CC}">
                <c16:uniqueId val="{0000001E-ADDC-43C0-92D7-44ABFE3B571E}"/>
              </c:ext>
            </c:extLst>
          </c:dPt>
          <c:dPt>
            <c:idx val="4"/>
            <c:bubble3D val="0"/>
            <c:spPr>
              <a:ln>
                <a:prstDash val="solid"/>
              </a:ln>
            </c:spPr>
            <c:extLst>
              <c:ext xmlns:c16="http://schemas.microsoft.com/office/drawing/2014/chart" uri="{C3380CC4-5D6E-409C-BE32-E72D297353CC}">
                <c16:uniqueId val="{00000020-ADDC-43C0-92D7-44ABFE3B571E}"/>
              </c:ext>
            </c:extLst>
          </c:dPt>
          <c:dPt>
            <c:idx val="5"/>
            <c:bubble3D val="0"/>
            <c:spPr>
              <a:ln>
                <a:prstDash val="solid"/>
              </a:ln>
            </c:spPr>
            <c:extLst>
              <c:ext xmlns:c16="http://schemas.microsoft.com/office/drawing/2014/chart" uri="{C3380CC4-5D6E-409C-BE32-E72D297353CC}">
                <c16:uniqueId val="{00000022-ADDC-43C0-92D7-44ABFE3B571E}"/>
              </c:ext>
            </c:extLst>
          </c:dPt>
          <c:dPt>
            <c:idx val="6"/>
            <c:bubble3D val="0"/>
            <c:spPr>
              <a:ln>
                <a:prstDash val="solid"/>
              </a:ln>
            </c:spPr>
            <c:extLst>
              <c:ext xmlns:c16="http://schemas.microsoft.com/office/drawing/2014/chart" uri="{C3380CC4-5D6E-409C-BE32-E72D297353CC}">
                <c16:uniqueId val="{00000024-ADDC-43C0-92D7-44ABFE3B571E}"/>
              </c:ext>
            </c:extLst>
          </c:dPt>
          <c:dPt>
            <c:idx val="7"/>
            <c:bubble3D val="0"/>
            <c:spPr>
              <a:ln>
                <a:prstDash val="solid"/>
              </a:ln>
            </c:spPr>
            <c:extLst>
              <c:ext xmlns:c16="http://schemas.microsoft.com/office/drawing/2014/chart" uri="{C3380CC4-5D6E-409C-BE32-E72D297353CC}">
                <c16:uniqueId val="{00000026-ADDC-43C0-92D7-44ABFE3B571E}"/>
              </c:ext>
            </c:extLst>
          </c:dPt>
          <c:dPt>
            <c:idx val="8"/>
            <c:bubble3D val="0"/>
            <c:spPr>
              <a:ln>
                <a:prstDash val="solid"/>
              </a:ln>
            </c:spPr>
            <c:extLst>
              <c:ext xmlns:c16="http://schemas.microsoft.com/office/drawing/2014/chart" uri="{C3380CC4-5D6E-409C-BE32-E72D297353CC}">
                <c16:uniqueId val="{00000028-ADDC-43C0-92D7-44ABFE3B571E}"/>
              </c:ext>
            </c:extLst>
          </c:dPt>
          <c:dPt>
            <c:idx val="9"/>
            <c:bubble3D val="0"/>
            <c:spPr/>
            <c:extLst>
              <c:ext xmlns:c16="http://schemas.microsoft.com/office/drawing/2014/chart" uri="{C3380CC4-5D6E-409C-BE32-E72D297353CC}">
                <c16:uniqueId val="{0000002A-ADDC-43C0-92D7-44ABFE3B571E}"/>
              </c:ext>
            </c:extLst>
          </c:dPt>
          <c:dPt>
            <c:idx val="10"/>
            <c:bubble3D val="0"/>
            <c:spPr>
              <a:ln>
                <a:prstDash val="solid"/>
              </a:ln>
            </c:spPr>
            <c:extLst>
              <c:ext xmlns:c16="http://schemas.microsoft.com/office/drawing/2014/chart" uri="{C3380CC4-5D6E-409C-BE32-E72D297353CC}">
                <c16:uniqueId val="{0000002C-ADDC-43C0-92D7-44ABFE3B571E}"/>
              </c:ext>
            </c:extLst>
          </c:dPt>
          <c:dPt>
            <c:idx val="11"/>
            <c:bubble3D val="0"/>
            <c:spPr>
              <a:ln>
                <a:prstDash val="solid"/>
              </a:ln>
            </c:spPr>
            <c:extLst>
              <c:ext xmlns:c16="http://schemas.microsoft.com/office/drawing/2014/chart" uri="{C3380CC4-5D6E-409C-BE32-E72D297353CC}">
                <c16:uniqueId val="{0000002E-ADDC-43C0-92D7-44ABFE3B571E}"/>
              </c:ext>
            </c:extLst>
          </c:dPt>
          <c:dPt>
            <c:idx val="12"/>
            <c:bubble3D val="0"/>
            <c:spPr>
              <a:ln>
                <a:prstDash val="solid"/>
              </a:ln>
            </c:spPr>
            <c:extLst>
              <c:ext xmlns:c16="http://schemas.microsoft.com/office/drawing/2014/chart" uri="{C3380CC4-5D6E-409C-BE32-E72D297353CC}">
                <c16:uniqueId val="{00000030-ADDC-43C0-92D7-44ABFE3B571E}"/>
              </c:ext>
            </c:extLst>
          </c:dPt>
          <c:cat>
            <c:numRef>
              <c:f>'SUMTAB stor'!$B$45:$Z$45</c:f>
              <c:numCache>
                <c:formatCode>General</c:formatCode>
                <c:ptCount val="2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pt idx="24">
                  <c:v>2030</c:v>
                </c:pt>
              </c:numCache>
            </c:numRef>
          </c:cat>
          <c:val>
            <c:numRef>
              <c:f>'SUMTAB stor'!$B$17:$Z$17</c:f>
              <c:numCache>
                <c:formatCode>0</c:formatCode>
                <c:ptCount val="25"/>
                <c:pt idx="0">
                  <c:v>2365</c:v>
                </c:pt>
                <c:pt idx="1">
                  <c:v>2070</c:v>
                </c:pt>
                <c:pt idx="2">
                  <c:v>2309</c:v>
                </c:pt>
                <c:pt idx="3">
                  <c:v>2158</c:v>
                </c:pt>
                <c:pt idx="4">
                  <c:v>2220</c:v>
                </c:pt>
                <c:pt idx="5">
                  <c:v>2161</c:v>
                </c:pt>
                <c:pt idx="6">
                  <c:v>2194</c:v>
                </c:pt>
                <c:pt idx="7">
                  <c:v>2270</c:v>
                </c:pt>
                <c:pt idx="8">
                  <c:v>2405</c:v>
                </c:pt>
                <c:pt idx="9">
                  <c:v>2616</c:v>
                </c:pt>
                <c:pt idx="10">
                  <c:v>2718</c:v>
                </c:pt>
                <c:pt idx="11">
                  <c:v>2911</c:v>
                </c:pt>
                <c:pt idx="12">
                  <c:v>3115</c:v>
                </c:pt>
                <c:pt idx="13">
                  <c:v>3035</c:v>
                </c:pt>
                <c:pt idx="14">
                  <c:v>2777</c:v>
                </c:pt>
                <c:pt idx="15">
                  <c:v>3046</c:v>
                </c:pt>
                <c:pt idx="16">
                  <c:v>3175</c:v>
                </c:pt>
                <c:pt idx="17">
                  <c:v>3301</c:v>
                </c:pt>
                <c:pt idx="18">
                  <c:v>3532</c:v>
                </c:pt>
                <c:pt idx="19">
                  <c:v>3598</c:v>
                </c:pt>
                <c:pt idx="20">
                  <c:v>3430</c:v>
                </c:pt>
                <c:pt idx="21">
                  <c:v>3360</c:v>
                </c:pt>
                <c:pt idx="22">
                  <c:v>3304</c:v>
                </c:pt>
                <c:pt idx="23">
                  <c:v>3266</c:v>
                </c:pt>
                <c:pt idx="24">
                  <c:v>3224</c:v>
                </c:pt>
              </c:numCache>
            </c:numRef>
          </c:val>
          <c:smooth val="1"/>
          <c:extLst>
            <c:ext xmlns:c16="http://schemas.microsoft.com/office/drawing/2014/chart" uri="{C3380CC4-5D6E-409C-BE32-E72D297353CC}">
              <c16:uniqueId val="{00000031-ADDC-43C0-92D7-44ABFE3B571E}"/>
            </c:ext>
          </c:extLst>
        </c:ser>
        <c:ser>
          <c:idx val="2"/>
          <c:order val="2"/>
          <c:tx>
            <c:strRef>
              <c:f>'SUMTAB stor'!$A$18</c:f>
              <c:strCache>
                <c:ptCount val="1"/>
                <c:pt idx="0">
                  <c:v>Flyttebalance</c:v>
                </c:pt>
              </c:strCache>
            </c:strRef>
          </c:tx>
          <c:spPr>
            <a:ln>
              <a:solidFill>
                <a:schemeClr val="tx1"/>
              </a:solidFill>
              <a:prstDash val="sysDot"/>
            </a:ln>
          </c:spPr>
          <c:marker>
            <c:symbol val="none"/>
          </c:marker>
          <c:dPt>
            <c:idx val="1"/>
            <c:bubble3D val="0"/>
            <c:spPr>
              <a:ln>
                <a:solidFill>
                  <a:schemeClr val="tx1"/>
                </a:solidFill>
                <a:prstDash val="solid"/>
              </a:ln>
            </c:spPr>
            <c:extLst>
              <c:ext xmlns:c16="http://schemas.microsoft.com/office/drawing/2014/chart" uri="{C3380CC4-5D6E-409C-BE32-E72D297353CC}">
                <c16:uniqueId val="{00000033-ADDC-43C0-92D7-44ABFE3B571E}"/>
              </c:ext>
            </c:extLst>
          </c:dPt>
          <c:dPt>
            <c:idx val="2"/>
            <c:bubble3D val="0"/>
            <c:spPr>
              <a:ln>
                <a:solidFill>
                  <a:schemeClr val="tx1"/>
                </a:solidFill>
                <a:prstDash val="solid"/>
              </a:ln>
            </c:spPr>
            <c:extLst>
              <c:ext xmlns:c16="http://schemas.microsoft.com/office/drawing/2014/chart" uri="{C3380CC4-5D6E-409C-BE32-E72D297353CC}">
                <c16:uniqueId val="{00000035-ADDC-43C0-92D7-44ABFE3B571E}"/>
              </c:ext>
            </c:extLst>
          </c:dPt>
          <c:dPt>
            <c:idx val="3"/>
            <c:bubble3D val="0"/>
            <c:spPr>
              <a:ln>
                <a:solidFill>
                  <a:schemeClr val="tx1"/>
                </a:solidFill>
                <a:prstDash val="solid"/>
              </a:ln>
            </c:spPr>
            <c:extLst>
              <c:ext xmlns:c16="http://schemas.microsoft.com/office/drawing/2014/chart" uri="{C3380CC4-5D6E-409C-BE32-E72D297353CC}">
                <c16:uniqueId val="{00000037-ADDC-43C0-92D7-44ABFE3B571E}"/>
              </c:ext>
            </c:extLst>
          </c:dPt>
          <c:dPt>
            <c:idx val="4"/>
            <c:bubble3D val="0"/>
            <c:spPr>
              <a:ln>
                <a:solidFill>
                  <a:schemeClr val="tx1"/>
                </a:solidFill>
                <a:prstDash val="solid"/>
              </a:ln>
            </c:spPr>
            <c:extLst>
              <c:ext xmlns:c16="http://schemas.microsoft.com/office/drawing/2014/chart" uri="{C3380CC4-5D6E-409C-BE32-E72D297353CC}">
                <c16:uniqueId val="{00000039-ADDC-43C0-92D7-44ABFE3B571E}"/>
              </c:ext>
            </c:extLst>
          </c:dPt>
          <c:dPt>
            <c:idx val="5"/>
            <c:bubble3D val="0"/>
            <c:spPr>
              <a:ln>
                <a:solidFill>
                  <a:schemeClr val="tx1"/>
                </a:solidFill>
                <a:prstDash val="solid"/>
              </a:ln>
            </c:spPr>
            <c:extLst>
              <c:ext xmlns:c16="http://schemas.microsoft.com/office/drawing/2014/chart" uri="{C3380CC4-5D6E-409C-BE32-E72D297353CC}">
                <c16:uniqueId val="{0000003B-ADDC-43C0-92D7-44ABFE3B571E}"/>
              </c:ext>
            </c:extLst>
          </c:dPt>
          <c:dPt>
            <c:idx val="6"/>
            <c:bubble3D val="0"/>
            <c:spPr>
              <a:ln>
                <a:solidFill>
                  <a:schemeClr val="tx1"/>
                </a:solidFill>
                <a:prstDash val="solid"/>
              </a:ln>
            </c:spPr>
            <c:extLst>
              <c:ext xmlns:c16="http://schemas.microsoft.com/office/drawing/2014/chart" uri="{C3380CC4-5D6E-409C-BE32-E72D297353CC}">
                <c16:uniqueId val="{0000003D-ADDC-43C0-92D7-44ABFE3B571E}"/>
              </c:ext>
            </c:extLst>
          </c:dPt>
          <c:dPt>
            <c:idx val="7"/>
            <c:bubble3D val="0"/>
            <c:spPr>
              <a:ln>
                <a:solidFill>
                  <a:schemeClr val="tx1"/>
                </a:solidFill>
                <a:prstDash val="solid"/>
              </a:ln>
            </c:spPr>
            <c:extLst>
              <c:ext xmlns:c16="http://schemas.microsoft.com/office/drawing/2014/chart" uri="{C3380CC4-5D6E-409C-BE32-E72D297353CC}">
                <c16:uniqueId val="{0000003F-ADDC-43C0-92D7-44ABFE3B571E}"/>
              </c:ext>
            </c:extLst>
          </c:dPt>
          <c:dPt>
            <c:idx val="8"/>
            <c:bubble3D val="0"/>
            <c:spPr>
              <a:ln>
                <a:solidFill>
                  <a:schemeClr val="tx1"/>
                </a:solidFill>
                <a:prstDash val="solid"/>
              </a:ln>
            </c:spPr>
            <c:extLst>
              <c:ext xmlns:c16="http://schemas.microsoft.com/office/drawing/2014/chart" uri="{C3380CC4-5D6E-409C-BE32-E72D297353CC}">
                <c16:uniqueId val="{00000041-ADDC-43C0-92D7-44ABFE3B571E}"/>
              </c:ext>
            </c:extLst>
          </c:dPt>
          <c:dPt>
            <c:idx val="9"/>
            <c:bubble3D val="0"/>
            <c:spPr>
              <a:ln>
                <a:solidFill>
                  <a:schemeClr val="tx1"/>
                </a:solidFill>
              </a:ln>
            </c:spPr>
            <c:extLst>
              <c:ext xmlns:c16="http://schemas.microsoft.com/office/drawing/2014/chart" uri="{C3380CC4-5D6E-409C-BE32-E72D297353CC}">
                <c16:uniqueId val="{00000043-ADDC-43C0-92D7-44ABFE3B571E}"/>
              </c:ext>
            </c:extLst>
          </c:dPt>
          <c:dPt>
            <c:idx val="10"/>
            <c:bubble3D val="0"/>
            <c:spPr>
              <a:ln>
                <a:solidFill>
                  <a:schemeClr val="tx1"/>
                </a:solidFill>
                <a:prstDash val="solid"/>
              </a:ln>
            </c:spPr>
            <c:extLst>
              <c:ext xmlns:c16="http://schemas.microsoft.com/office/drawing/2014/chart" uri="{C3380CC4-5D6E-409C-BE32-E72D297353CC}">
                <c16:uniqueId val="{00000045-ADDC-43C0-92D7-44ABFE3B571E}"/>
              </c:ext>
            </c:extLst>
          </c:dPt>
          <c:dPt>
            <c:idx val="11"/>
            <c:bubble3D val="0"/>
            <c:spPr>
              <a:ln>
                <a:solidFill>
                  <a:schemeClr val="tx1"/>
                </a:solidFill>
                <a:prstDash val="solid"/>
              </a:ln>
            </c:spPr>
            <c:extLst>
              <c:ext xmlns:c16="http://schemas.microsoft.com/office/drawing/2014/chart" uri="{C3380CC4-5D6E-409C-BE32-E72D297353CC}">
                <c16:uniqueId val="{00000047-ADDC-43C0-92D7-44ABFE3B571E}"/>
              </c:ext>
            </c:extLst>
          </c:dPt>
          <c:dPt>
            <c:idx val="12"/>
            <c:bubble3D val="0"/>
            <c:spPr>
              <a:ln>
                <a:solidFill>
                  <a:schemeClr val="tx1"/>
                </a:solidFill>
                <a:prstDash val="solid"/>
              </a:ln>
            </c:spPr>
            <c:extLst>
              <c:ext xmlns:c16="http://schemas.microsoft.com/office/drawing/2014/chart" uri="{C3380CC4-5D6E-409C-BE32-E72D297353CC}">
                <c16:uniqueId val="{00000049-ADDC-43C0-92D7-44ABFE3B571E}"/>
              </c:ext>
            </c:extLst>
          </c:dPt>
          <c:cat>
            <c:numRef>
              <c:f>'SUMTAB stor'!$B$45:$Z$45</c:f>
              <c:numCache>
                <c:formatCode>General</c:formatCode>
                <c:ptCount val="2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pt idx="24">
                  <c:v>2030</c:v>
                </c:pt>
              </c:numCache>
            </c:numRef>
          </c:cat>
          <c:val>
            <c:numRef>
              <c:f>'SUMTAB stor'!$B$18:$Z$18</c:f>
              <c:numCache>
                <c:formatCode>0</c:formatCode>
                <c:ptCount val="25"/>
                <c:pt idx="0">
                  <c:v>-326</c:v>
                </c:pt>
                <c:pt idx="1">
                  <c:v>-141</c:v>
                </c:pt>
                <c:pt idx="2">
                  <c:v>-130</c:v>
                </c:pt>
                <c:pt idx="3">
                  <c:v>59</c:v>
                </c:pt>
                <c:pt idx="4">
                  <c:v>259</c:v>
                </c:pt>
                <c:pt idx="5">
                  <c:v>103</c:v>
                </c:pt>
                <c:pt idx="6">
                  <c:v>167</c:v>
                </c:pt>
                <c:pt idx="7">
                  <c:v>357</c:v>
                </c:pt>
                <c:pt idx="8">
                  <c:v>402</c:v>
                </c:pt>
                <c:pt idx="9">
                  <c:v>248</c:v>
                </c:pt>
                <c:pt idx="10">
                  <c:v>239</c:v>
                </c:pt>
                <c:pt idx="11">
                  <c:v>4</c:v>
                </c:pt>
                <c:pt idx="12">
                  <c:v>-186</c:v>
                </c:pt>
                <c:pt idx="13">
                  <c:v>-297</c:v>
                </c:pt>
                <c:pt idx="14">
                  <c:v>178</c:v>
                </c:pt>
                <c:pt idx="15">
                  <c:v>509</c:v>
                </c:pt>
                <c:pt idx="16">
                  <c:v>784</c:v>
                </c:pt>
                <c:pt idx="17">
                  <c:v>1191</c:v>
                </c:pt>
                <c:pt idx="18">
                  <c:v>724</c:v>
                </c:pt>
                <c:pt idx="19">
                  <c:v>189</c:v>
                </c:pt>
                <c:pt idx="20">
                  <c:v>-86</c:v>
                </c:pt>
                <c:pt idx="21">
                  <c:v>-19</c:v>
                </c:pt>
                <c:pt idx="22">
                  <c:v>-19</c:v>
                </c:pt>
                <c:pt idx="23">
                  <c:v>-84</c:v>
                </c:pt>
                <c:pt idx="24">
                  <c:v>-83</c:v>
                </c:pt>
              </c:numCache>
            </c:numRef>
          </c:val>
          <c:smooth val="1"/>
          <c:extLst>
            <c:ext xmlns:c16="http://schemas.microsoft.com/office/drawing/2014/chart" uri="{C3380CC4-5D6E-409C-BE32-E72D297353CC}">
              <c16:uniqueId val="{0000004A-ADDC-43C0-92D7-44ABFE3B571E}"/>
            </c:ext>
          </c:extLst>
        </c:ser>
        <c:dLbls>
          <c:showLegendKey val="0"/>
          <c:showVal val="0"/>
          <c:showCatName val="0"/>
          <c:showSerName val="0"/>
          <c:showPercent val="0"/>
          <c:showBubbleSize val="0"/>
        </c:dLbls>
        <c:smooth val="0"/>
        <c:axId val="196584576"/>
        <c:axId val="196586112"/>
      </c:lineChart>
      <c:catAx>
        <c:axId val="196584576"/>
        <c:scaling>
          <c:orientation val="minMax"/>
        </c:scaling>
        <c:delete val="0"/>
        <c:axPos val="b"/>
        <c:numFmt formatCode="General" sourceLinked="1"/>
        <c:majorTickMark val="out"/>
        <c:minorTickMark val="none"/>
        <c:tickLblPos val="nextTo"/>
        <c:crossAx val="196586112"/>
        <c:crosses val="autoZero"/>
        <c:auto val="1"/>
        <c:lblAlgn val="ctr"/>
        <c:lblOffset val="100"/>
        <c:noMultiLvlLbl val="0"/>
      </c:catAx>
      <c:valAx>
        <c:axId val="196586112"/>
        <c:scaling>
          <c:orientation val="minMax"/>
          <c:min val="-1000"/>
        </c:scaling>
        <c:delete val="0"/>
        <c:axPos val="l"/>
        <c:majorGridlines/>
        <c:numFmt formatCode="0" sourceLinked="1"/>
        <c:majorTickMark val="out"/>
        <c:minorTickMark val="none"/>
        <c:tickLblPos val="nextTo"/>
        <c:crossAx val="196584576"/>
        <c:crosses val="autoZero"/>
        <c:crossBetween val="between"/>
      </c:valAx>
    </c:plotArea>
    <c:legend>
      <c:legendPos val="r"/>
      <c:overlay val="0"/>
    </c:legend>
    <c:plotVisOnly val="1"/>
    <c:dispBlanksAs val="gap"/>
    <c:showDLblsOverMax val="0"/>
  </c:chart>
  <c:spPr>
    <a:ln>
      <a:noFill/>
    </a:ln>
  </c:spPr>
  <c:txPr>
    <a:bodyPr/>
    <a:lstStyle/>
    <a:p>
      <a:pPr>
        <a:defRPr sz="800"/>
      </a:pPr>
      <a:endParaRPr lang="da-DK"/>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Tilflytninger, ind- og udland</c:v>
          </c:tx>
          <c:spPr>
            <a:solidFill>
              <a:srgbClr val="00B050"/>
            </a:solidFill>
          </c:spPr>
          <c:invertIfNegative val="0"/>
          <c:cat>
            <c:strRef>
              <c:f>DST!$AM$4:$AM$103</c:f>
              <c:strCache>
                <c:ptCount val="100"/>
                <c:pt idx="0">
                  <c:v>0 år</c:v>
                </c:pt>
                <c:pt idx="1">
                  <c:v>1 år</c:v>
                </c:pt>
                <c:pt idx="2">
                  <c:v>2 år</c:v>
                </c:pt>
                <c:pt idx="3">
                  <c:v>3 år</c:v>
                </c:pt>
                <c:pt idx="4">
                  <c:v>4 år</c:v>
                </c:pt>
                <c:pt idx="5">
                  <c:v>5 år</c:v>
                </c:pt>
                <c:pt idx="6">
                  <c:v>6 år</c:v>
                </c:pt>
                <c:pt idx="7">
                  <c:v>7 år</c:v>
                </c:pt>
                <c:pt idx="8">
                  <c:v>8 år</c:v>
                </c:pt>
                <c:pt idx="9">
                  <c:v>9 år</c:v>
                </c:pt>
                <c:pt idx="10">
                  <c:v>10 år</c:v>
                </c:pt>
                <c:pt idx="11">
                  <c:v>11 år</c:v>
                </c:pt>
                <c:pt idx="12">
                  <c:v>12 år</c:v>
                </c:pt>
                <c:pt idx="13">
                  <c:v>13 år</c:v>
                </c:pt>
                <c:pt idx="14">
                  <c:v>14 år</c:v>
                </c:pt>
                <c:pt idx="15">
                  <c:v>15 år</c:v>
                </c:pt>
                <c:pt idx="16">
                  <c:v>16 år</c:v>
                </c:pt>
                <c:pt idx="17">
                  <c:v>17 år</c:v>
                </c:pt>
                <c:pt idx="18">
                  <c:v>18 år</c:v>
                </c:pt>
                <c:pt idx="19">
                  <c:v>19 år</c:v>
                </c:pt>
                <c:pt idx="20">
                  <c:v>20 år</c:v>
                </c:pt>
                <c:pt idx="21">
                  <c:v>21 år</c:v>
                </c:pt>
                <c:pt idx="22">
                  <c:v>22 år</c:v>
                </c:pt>
                <c:pt idx="23">
                  <c:v>23 år</c:v>
                </c:pt>
                <c:pt idx="24">
                  <c:v>24 år</c:v>
                </c:pt>
                <c:pt idx="25">
                  <c:v>25 år</c:v>
                </c:pt>
                <c:pt idx="26">
                  <c:v>26 år</c:v>
                </c:pt>
                <c:pt idx="27">
                  <c:v>27 år</c:v>
                </c:pt>
                <c:pt idx="28">
                  <c:v>28 år</c:v>
                </c:pt>
                <c:pt idx="29">
                  <c:v>29 år</c:v>
                </c:pt>
                <c:pt idx="30">
                  <c:v>30 år</c:v>
                </c:pt>
                <c:pt idx="31">
                  <c:v>31 år</c:v>
                </c:pt>
                <c:pt idx="32">
                  <c:v>32 år</c:v>
                </c:pt>
                <c:pt idx="33">
                  <c:v>33 år</c:v>
                </c:pt>
                <c:pt idx="34">
                  <c:v>34 år</c:v>
                </c:pt>
                <c:pt idx="35">
                  <c:v>35 år</c:v>
                </c:pt>
                <c:pt idx="36">
                  <c:v>36 år</c:v>
                </c:pt>
                <c:pt idx="37">
                  <c:v>37 år</c:v>
                </c:pt>
                <c:pt idx="38">
                  <c:v>38 år</c:v>
                </c:pt>
                <c:pt idx="39">
                  <c:v>39 år</c:v>
                </c:pt>
                <c:pt idx="40">
                  <c:v>40 år</c:v>
                </c:pt>
                <c:pt idx="41">
                  <c:v>41 år</c:v>
                </c:pt>
                <c:pt idx="42">
                  <c:v>42 år</c:v>
                </c:pt>
                <c:pt idx="43">
                  <c:v>43 år</c:v>
                </c:pt>
                <c:pt idx="44">
                  <c:v>44 år</c:v>
                </c:pt>
                <c:pt idx="45">
                  <c:v>45 år</c:v>
                </c:pt>
                <c:pt idx="46">
                  <c:v>46 år</c:v>
                </c:pt>
                <c:pt idx="47">
                  <c:v>47 år</c:v>
                </c:pt>
                <c:pt idx="48">
                  <c:v>48 år</c:v>
                </c:pt>
                <c:pt idx="49">
                  <c:v>49 år</c:v>
                </c:pt>
                <c:pt idx="50">
                  <c:v>50 år</c:v>
                </c:pt>
                <c:pt idx="51">
                  <c:v>51 år</c:v>
                </c:pt>
                <c:pt idx="52">
                  <c:v>52 år</c:v>
                </c:pt>
                <c:pt idx="53">
                  <c:v>53 år</c:v>
                </c:pt>
                <c:pt idx="54">
                  <c:v>54 år</c:v>
                </c:pt>
                <c:pt idx="55">
                  <c:v>55 år</c:v>
                </c:pt>
                <c:pt idx="56">
                  <c:v>56 år</c:v>
                </c:pt>
                <c:pt idx="57">
                  <c:v>57 år</c:v>
                </c:pt>
                <c:pt idx="58">
                  <c:v>58 år</c:v>
                </c:pt>
                <c:pt idx="59">
                  <c:v>59 år</c:v>
                </c:pt>
                <c:pt idx="60">
                  <c:v>60 år</c:v>
                </c:pt>
                <c:pt idx="61">
                  <c:v>61 år</c:v>
                </c:pt>
                <c:pt idx="62">
                  <c:v>62 år</c:v>
                </c:pt>
                <c:pt idx="63">
                  <c:v>63 år</c:v>
                </c:pt>
                <c:pt idx="64">
                  <c:v>64 år</c:v>
                </c:pt>
                <c:pt idx="65">
                  <c:v>65 år</c:v>
                </c:pt>
                <c:pt idx="66">
                  <c:v>66 år</c:v>
                </c:pt>
                <c:pt idx="67">
                  <c:v>67 år</c:v>
                </c:pt>
                <c:pt idx="68">
                  <c:v>68 år</c:v>
                </c:pt>
                <c:pt idx="69">
                  <c:v>69 år</c:v>
                </c:pt>
                <c:pt idx="70">
                  <c:v>70 år</c:v>
                </c:pt>
                <c:pt idx="71">
                  <c:v>71 år</c:v>
                </c:pt>
                <c:pt idx="72">
                  <c:v>72 år</c:v>
                </c:pt>
                <c:pt idx="73">
                  <c:v>73 år</c:v>
                </c:pt>
                <c:pt idx="74">
                  <c:v>74 år</c:v>
                </c:pt>
                <c:pt idx="75">
                  <c:v>75 år</c:v>
                </c:pt>
                <c:pt idx="76">
                  <c:v>76 år</c:v>
                </c:pt>
                <c:pt idx="77">
                  <c:v>77 år</c:v>
                </c:pt>
                <c:pt idx="78">
                  <c:v>78 år</c:v>
                </c:pt>
                <c:pt idx="79">
                  <c:v>79 år</c:v>
                </c:pt>
                <c:pt idx="80">
                  <c:v>80 år</c:v>
                </c:pt>
                <c:pt idx="81">
                  <c:v>81 år</c:v>
                </c:pt>
                <c:pt idx="82">
                  <c:v>82 år</c:v>
                </c:pt>
                <c:pt idx="83">
                  <c:v>83 år</c:v>
                </c:pt>
                <c:pt idx="84">
                  <c:v>84 år</c:v>
                </c:pt>
                <c:pt idx="85">
                  <c:v>85 år</c:v>
                </c:pt>
                <c:pt idx="86">
                  <c:v>86 år</c:v>
                </c:pt>
                <c:pt idx="87">
                  <c:v>87 år</c:v>
                </c:pt>
                <c:pt idx="88">
                  <c:v>88 år</c:v>
                </c:pt>
                <c:pt idx="89">
                  <c:v>89 år</c:v>
                </c:pt>
                <c:pt idx="90">
                  <c:v>90 år</c:v>
                </c:pt>
                <c:pt idx="91">
                  <c:v>91 år</c:v>
                </c:pt>
                <c:pt idx="92">
                  <c:v>92 år</c:v>
                </c:pt>
                <c:pt idx="93">
                  <c:v>93 år</c:v>
                </c:pt>
                <c:pt idx="94">
                  <c:v>94 år</c:v>
                </c:pt>
                <c:pt idx="95">
                  <c:v>95 år</c:v>
                </c:pt>
                <c:pt idx="96">
                  <c:v>96 år</c:v>
                </c:pt>
                <c:pt idx="97">
                  <c:v>97 år</c:v>
                </c:pt>
                <c:pt idx="98">
                  <c:v>98 år</c:v>
                </c:pt>
                <c:pt idx="99">
                  <c:v>99 år</c:v>
                </c:pt>
              </c:strCache>
            </c:strRef>
          </c:cat>
          <c:val>
            <c:numRef>
              <c:f>DST!$AJ$4:$AJ$103</c:f>
              <c:numCache>
                <c:formatCode>General</c:formatCode>
                <c:ptCount val="100"/>
                <c:pt idx="0">
                  <c:v>61</c:v>
                </c:pt>
                <c:pt idx="1">
                  <c:v>48.333333333333336</c:v>
                </c:pt>
                <c:pt idx="2">
                  <c:v>40.444444444444443</c:v>
                </c:pt>
                <c:pt idx="3">
                  <c:v>34.222222222222221</c:v>
                </c:pt>
                <c:pt idx="4">
                  <c:v>30</c:v>
                </c:pt>
                <c:pt idx="5">
                  <c:v>24.888888888888889</c:v>
                </c:pt>
                <c:pt idx="6">
                  <c:v>23.555555555555557</c:v>
                </c:pt>
                <c:pt idx="7">
                  <c:v>18</c:v>
                </c:pt>
                <c:pt idx="8">
                  <c:v>18.333333333333332</c:v>
                </c:pt>
                <c:pt idx="9">
                  <c:v>17.333333333333332</c:v>
                </c:pt>
                <c:pt idx="10">
                  <c:v>18.222222222222221</c:v>
                </c:pt>
                <c:pt idx="11">
                  <c:v>18</c:v>
                </c:pt>
                <c:pt idx="12">
                  <c:v>16.555555555555557</c:v>
                </c:pt>
                <c:pt idx="13">
                  <c:v>15.666666666666666</c:v>
                </c:pt>
                <c:pt idx="14">
                  <c:v>19.777777777777779</c:v>
                </c:pt>
                <c:pt idx="15">
                  <c:v>20.111111111111111</c:v>
                </c:pt>
                <c:pt idx="16">
                  <c:v>26.444444444444443</c:v>
                </c:pt>
                <c:pt idx="17">
                  <c:v>29</c:v>
                </c:pt>
                <c:pt idx="18">
                  <c:v>62.222222222222221</c:v>
                </c:pt>
                <c:pt idx="19">
                  <c:v>77.444444444444443</c:v>
                </c:pt>
                <c:pt idx="20">
                  <c:v>95.222222222222229</c:v>
                </c:pt>
                <c:pt idx="21">
                  <c:v>108.66666666666667</c:v>
                </c:pt>
                <c:pt idx="22">
                  <c:v>110.44444444444444</c:v>
                </c:pt>
                <c:pt idx="23">
                  <c:v>112.11111111111111</c:v>
                </c:pt>
                <c:pt idx="24">
                  <c:v>108.55555555555556</c:v>
                </c:pt>
                <c:pt idx="25">
                  <c:v>110.44444444444444</c:v>
                </c:pt>
                <c:pt idx="26">
                  <c:v>104.11111111111111</c:v>
                </c:pt>
                <c:pt idx="27">
                  <c:v>98.888888888888886</c:v>
                </c:pt>
                <c:pt idx="28">
                  <c:v>95.111111111111114</c:v>
                </c:pt>
                <c:pt idx="29">
                  <c:v>84.222222222222229</c:v>
                </c:pt>
                <c:pt idx="30">
                  <c:v>81.333333333333329</c:v>
                </c:pt>
                <c:pt idx="31">
                  <c:v>72.555555555555557</c:v>
                </c:pt>
                <c:pt idx="32">
                  <c:v>69.666666666666671</c:v>
                </c:pt>
                <c:pt idx="33">
                  <c:v>58.222222222222221</c:v>
                </c:pt>
                <c:pt idx="34">
                  <c:v>55.777777777777779</c:v>
                </c:pt>
                <c:pt idx="35">
                  <c:v>50.111111111111114</c:v>
                </c:pt>
                <c:pt idx="36">
                  <c:v>47.333333333333336</c:v>
                </c:pt>
                <c:pt idx="37">
                  <c:v>41.555555555555557</c:v>
                </c:pt>
                <c:pt idx="38">
                  <c:v>41.777777777777779</c:v>
                </c:pt>
                <c:pt idx="39">
                  <c:v>35.111111111111114</c:v>
                </c:pt>
                <c:pt idx="40">
                  <c:v>32.333333333333336</c:v>
                </c:pt>
                <c:pt idx="41">
                  <c:v>30.666666666666668</c:v>
                </c:pt>
                <c:pt idx="42">
                  <c:v>27.777777777777779</c:v>
                </c:pt>
                <c:pt idx="43">
                  <c:v>25.333333333333332</c:v>
                </c:pt>
                <c:pt idx="44">
                  <c:v>25</c:v>
                </c:pt>
                <c:pt idx="45">
                  <c:v>23</c:v>
                </c:pt>
                <c:pt idx="46">
                  <c:v>24.222222222222221</c:v>
                </c:pt>
                <c:pt idx="47">
                  <c:v>22.777777777777779</c:v>
                </c:pt>
                <c:pt idx="48">
                  <c:v>25.111111111111111</c:v>
                </c:pt>
                <c:pt idx="49">
                  <c:v>19.111111111111111</c:v>
                </c:pt>
                <c:pt idx="50">
                  <c:v>22.888888888888889</c:v>
                </c:pt>
                <c:pt idx="51">
                  <c:v>20.333333333333332</c:v>
                </c:pt>
                <c:pt idx="52">
                  <c:v>16.555555555555557</c:v>
                </c:pt>
                <c:pt idx="53">
                  <c:v>15.444444444444445</c:v>
                </c:pt>
                <c:pt idx="54">
                  <c:v>15.333333333333334</c:v>
                </c:pt>
                <c:pt idx="55">
                  <c:v>14.666666666666666</c:v>
                </c:pt>
                <c:pt idx="56">
                  <c:v>13.555555555555555</c:v>
                </c:pt>
                <c:pt idx="57">
                  <c:v>11</c:v>
                </c:pt>
                <c:pt idx="58">
                  <c:v>12</c:v>
                </c:pt>
                <c:pt idx="59">
                  <c:v>10.555555555555555</c:v>
                </c:pt>
                <c:pt idx="60">
                  <c:v>7.4444444444444446</c:v>
                </c:pt>
                <c:pt idx="61">
                  <c:v>7.2222222222222223</c:v>
                </c:pt>
                <c:pt idx="62">
                  <c:v>7.4444444444444446</c:v>
                </c:pt>
                <c:pt idx="63">
                  <c:v>6.5555555555555554</c:v>
                </c:pt>
                <c:pt idx="64">
                  <c:v>6.5555555555555554</c:v>
                </c:pt>
                <c:pt idx="65">
                  <c:v>6.4444444444444446</c:v>
                </c:pt>
                <c:pt idx="66">
                  <c:v>5.5555555555555554</c:v>
                </c:pt>
                <c:pt idx="67">
                  <c:v>4.666666666666667</c:v>
                </c:pt>
                <c:pt idx="68">
                  <c:v>3.8888888888888888</c:v>
                </c:pt>
                <c:pt idx="69">
                  <c:v>3.4444444444444446</c:v>
                </c:pt>
                <c:pt idx="70">
                  <c:v>4.2222222222222223</c:v>
                </c:pt>
                <c:pt idx="71">
                  <c:v>3.1111111111111112</c:v>
                </c:pt>
                <c:pt idx="72">
                  <c:v>3.8888888888888888</c:v>
                </c:pt>
                <c:pt idx="73">
                  <c:v>2.1111111111111112</c:v>
                </c:pt>
                <c:pt idx="74">
                  <c:v>1.6666666666666667</c:v>
                </c:pt>
                <c:pt idx="75">
                  <c:v>2.2222222222222223</c:v>
                </c:pt>
                <c:pt idx="76">
                  <c:v>1.5555555555555556</c:v>
                </c:pt>
                <c:pt idx="77">
                  <c:v>1.8888888888888888</c:v>
                </c:pt>
                <c:pt idx="78">
                  <c:v>1.7777777777777777</c:v>
                </c:pt>
                <c:pt idx="79">
                  <c:v>1.2222222222222223</c:v>
                </c:pt>
                <c:pt idx="80">
                  <c:v>1</c:v>
                </c:pt>
                <c:pt idx="81">
                  <c:v>1</c:v>
                </c:pt>
                <c:pt idx="82">
                  <c:v>1.1111111111111112</c:v>
                </c:pt>
                <c:pt idx="83">
                  <c:v>1.3333333333333333</c:v>
                </c:pt>
                <c:pt idx="84">
                  <c:v>0.77777777777777779</c:v>
                </c:pt>
                <c:pt idx="85">
                  <c:v>0.66666666666666663</c:v>
                </c:pt>
                <c:pt idx="86">
                  <c:v>0.66666666666666663</c:v>
                </c:pt>
                <c:pt idx="87">
                  <c:v>0.1111111111111111</c:v>
                </c:pt>
                <c:pt idx="88">
                  <c:v>0.55555555555555558</c:v>
                </c:pt>
                <c:pt idx="89">
                  <c:v>0.66666666666666663</c:v>
                </c:pt>
                <c:pt idx="90">
                  <c:v>0.22222222222222221</c:v>
                </c:pt>
                <c:pt idx="91">
                  <c:v>0.33333333333333331</c:v>
                </c:pt>
                <c:pt idx="92">
                  <c:v>0.33333333333333331</c:v>
                </c:pt>
                <c:pt idx="93">
                  <c:v>0.1111111111111111</c:v>
                </c:pt>
                <c:pt idx="94">
                  <c:v>0</c:v>
                </c:pt>
                <c:pt idx="95">
                  <c:v>0</c:v>
                </c:pt>
                <c:pt idx="96">
                  <c:v>0.1111111111111111</c:v>
                </c:pt>
                <c:pt idx="97">
                  <c:v>0</c:v>
                </c:pt>
                <c:pt idx="98">
                  <c:v>0</c:v>
                </c:pt>
                <c:pt idx="99">
                  <c:v>0.1111111111111111</c:v>
                </c:pt>
              </c:numCache>
            </c:numRef>
          </c:val>
          <c:extLst>
            <c:ext xmlns:c16="http://schemas.microsoft.com/office/drawing/2014/chart" uri="{C3380CC4-5D6E-409C-BE32-E72D297353CC}">
              <c16:uniqueId val="{00000000-6FC6-4B6C-97C7-B8477368916E}"/>
            </c:ext>
          </c:extLst>
        </c:ser>
        <c:ser>
          <c:idx val="1"/>
          <c:order val="1"/>
          <c:tx>
            <c:v>Fraflytninger, ind- og udland</c:v>
          </c:tx>
          <c:invertIfNegative val="0"/>
          <c:cat>
            <c:strRef>
              <c:f>DST!$AM$4:$AM$103</c:f>
              <c:strCache>
                <c:ptCount val="100"/>
                <c:pt idx="0">
                  <c:v>0 år</c:v>
                </c:pt>
                <c:pt idx="1">
                  <c:v>1 år</c:v>
                </c:pt>
                <c:pt idx="2">
                  <c:v>2 år</c:v>
                </c:pt>
                <c:pt idx="3">
                  <c:v>3 år</c:v>
                </c:pt>
                <c:pt idx="4">
                  <c:v>4 år</c:v>
                </c:pt>
                <c:pt idx="5">
                  <c:v>5 år</c:v>
                </c:pt>
                <c:pt idx="6">
                  <c:v>6 år</c:v>
                </c:pt>
                <c:pt idx="7">
                  <c:v>7 år</c:v>
                </c:pt>
                <c:pt idx="8">
                  <c:v>8 år</c:v>
                </c:pt>
                <c:pt idx="9">
                  <c:v>9 år</c:v>
                </c:pt>
                <c:pt idx="10">
                  <c:v>10 år</c:v>
                </c:pt>
                <c:pt idx="11">
                  <c:v>11 år</c:v>
                </c:pt>
                <c:pt idx="12">
                  <c:v>12 år</c:v>
                </c:pt>
                <c:pt idx="13">
                  <c:v>13 år</c:v>
                </c:pt>
                <c:pt idx="14">
                  <c:v>14 år</c:v>
                </c:pt>
                <c:pt idx="15">
                  <c:v>15 år</c:v>
                </c:pt>
                <c:pt idx="16">
                  <c:v>16 år</c:v>
                </c:pt>
                <c:pt idx="17">
                  <c:v>17 år</c:v>
                </c:pt>
                <c:pt idx="18">
                  <c:v>18 år</c:v>
                </c:pt>
                <c:pt idx="19">
                  <c:v>19 år</c:v>
                </c:pt>
                <c:pt idx="20">
                  <c:v>20 år</c:v>
                </c:pt>
                <c:pt idx="21">
                  <c:v>21 år</c:v>
                </c:pt>
                <c:pt idx="22">
                  <c:v>22 år</c:v>
                </c:pt>
                <c:pt idx="23">
                  <c:v>23 år</c:v>
                </c:pt>
                <c:pt idx="24">
                  <c:v>24 år</c:v>
                </c:pt>
                <c:pt idx="25">
                  <c:v>25 år</c:v>
                </c:pt>
                <c:pt idx="26">
                  <c:v>26 år</c:v>
                </c:pt>
                <c:pt idx="27">
                  <c:v>27 år</c:v>
                </c:pt>
                <c:pt idx="28">
                  <c:v>28 år</c:v>
                </c:pt>
                <c:pt idx="29">
                  <c:v>29 år</c:v>
                </c:pt>
                <c:pt idx="30">
                  <c:v>30 år</c:v>
                </c:pt>
                <c:pt idx="31">
                  <c:v>31 år</c:v>
                </c:pt>
                <c:pt idx="32">
                  <c:v>32 år</c:v>
                </c:pt>
                <c:pt idx="33">
                  <c:v>33 år</c:v>
                </c:pt>
                <c:pt idx="34">
                  <c:v>34 år</c:v>
                </c:pt>
                <c:pt idx="35">
                  <c:v>35 år</c:v>
                </c:pt>
                <c:pt idx="36">
                  <c:v>36 år</c:v>
                </c:pt>
                <c:pt idx="37">
                  <c:v>37 år</c:v>
                </c:pt>
                <c:pt idx="38">
                  <c:v>38 år</c:v>
                </c:pt>
                <c:pt idx="39">
                  <c:v>39 år</c:v>
                </c:pt>
                <c:pt idx="40">
                  <c:v>40 år</c:v>
                </c:pt>
                <c:pt idx="41">
                  <c:v>41 år</c:v>
                </c:pt>
                <c:pt idx="42">
                  <c:v>42 år</c:v>
                </c:pt>
                <c:pt idx="43">
                  <c:v>43 år</c:v>
                </c:pt>
                <c:pt idx="44">
                  <c:v>44 år</c:v>
                </c:pt>
                <c:pt idx="45">
                  <c:v>45 år</c:v>
                </c:pt>
                <c:pt idx="46">
                  <c:v>46 år</c:v>
                </c:pt>
                <c:pt idx="47">
                  <c:v>47 år</c:v>
                </c:pt>
                <c:pt idx="48">
                  <c:v>48 år</c:v>
                </c:pt>
                <c:pt idx="49">
                  <c:v>49 år</c:v>
                </c:pt>
                <c:pt idx="50">
                  <c:v>50 år</c:v>
                </c:pt>
                <c:pt idx="51">
                  <c:v>51 år</c:v>
                </c:pt>
                <c:pt idx="52">
                  <c:v>52 år</c:v>
                </c:pt>
                <c:pt idx="53">
                  <c:v>53 år</c:v>
                </c:pt>
                <c:pt idx="54">
                  <c:v>54 år</c:v>
                </c:pt>
                <c:pt idx="55">
                  <c:v>55 år</c:v>
                </c:pt>
                <c:pt idx="56">
                  <c:v>56 år</c:v>
                </c:pt>
                <c:pt idx="57">
                  <c:v>57 år</c:v>
                </c:pt>
                <c:pt idx="58">
                  <c:v>58 år</c:v>
                </c:pt>
                <c:pt idx="59">
                  <c:v>59 år</c:v>
                </c:pt>
                <c:pt idx="60">
                  <c:v>60 år</c:v>
                </c:pt>
                <c:pt idx="61">
                  <c:v>61 år</c:v>
                </c:pt>
                <c:pt idx="62">
                  <c:v>62 år</c:v>
                </c:pt>
                <c:pt idx="63">
                  <c:v>63 år</c:v>
                </c:pt>
                <c:pt idx="64">
                  <c:v>64 år</c:v>
                </c:pt>
                <c:pt idx="65">
                  <c:v>65 år</c:v>
                </c:pt>
                <c:pt idx="66">
                  <c:v>66 år</c:v>
                </c:pt>
                <c:pt idx="67">
                  <c:v>67 år</c:v>
                </c:pt>
                <c:pt idx="68">
                  <c:v>68 år</c:v>
                </c:pt>
                <c:pt idx="69">
                  <c:v>69 år</c:v>
                </c:pt>
                <c:pt idx="70">
                  <c:v>70 år</c:v>
                </c:pt>
                <c:pt idx="71">
                  <c:v>71 år</c:v>
                </c:pt>
                <c:pt idx="72">
                  <c:v>72 år</c:v>
                </c:pt>
                <c:pt idx="73">
                  <c:v>73 år</c:v>
                </c:pt>
                <c:pt idx="74">
                  <c:v>74 år</c:v>
                </c:pt>
                <c:pt idx="75">
                  <c:v>75 år</c:v>
                </c:pt>
                <c:pt idx="76">
                  <c:v>76 år</c:v>
                </c:pt>
                <c:pt idx="77">
                  <c:v>77 år</c:v>
                </c:pt>
                <c:pt idx="78">
                  <c:v>78 år</c:v>
                </c:pt>
                <c:pt idx="79">
                  <c:v>79 år</c:v>
                </c:pt>
                <c:pt idx="80">
                  <c:v>80 år</c:v>
                </c:pt>
                <c:pt idx="81">
                  <c:v>81 år</c:v>
                </c:pt>
                <c:pt idx="82">
                  <c:v>82 år</c:v>
                </c:pt>
                <c:pt idx="83">
                  <c:v>83 år</c:v>
                </c:pt>
                <c:pt idx="84">
                  <c:v>84 år</c:v>
                </c:pt>
                <c:pt idx="85">
                  <c:v>85 år</c:v>
                </c:pt>
                <c:pt idx="86">
                  <c:v>86 år</c:v>
                </c:pt>
                <c:pt idx="87">
                  <c:v>87 år</c:v>
                </c:pt>
                <c:pt idx="88">
                  <c:v>88 år</c:v>
                </c:pt>
                <c:pt idx="89">
                  <c:v>89 år</c:v>
                </c:pt>
                <c:pt idx="90">
                  <c:v>90 år</c:v>
                </c:pt>
                <c:pt idx="91">
                  <c:v>91 år</c:v>
                </c:pt>
                <c:pt idx="92">
                  <c:v>92 år</c:v>
                </c:pt>
                <c:pt idx="93">
                  <c:v>93 år</c:v>
                </c:pt>
                <c:pt idx="94">
                  <c:v>94 år</c:v>
                </c:pt>
                <c:pt idx="95">
                  <c:v>95 år</c:v>
                </c:pt>
                <c:pt idx="96">
                  <c:v>96 år</c:v>
                </c:pt>
                <c:pt idx="97">
                  <c:v>97 år</c:v>
                </c:pt>
                <c:pt idx="98">
                  <c:v>98 år</c:v>
                </c:pt>
                <c:pt idx="99">
                  <c:v>99 år</c:v>
                </c:pt>
              </c:strCache>
            </c:strRef>
          </c:cat>
          <c:val>
            <c:numRef>
              <c:f>DST!$AX$4:$AX$103</c:f>
              <c:numCache>
                <c:formatCode>General</c:formatCode>
                <c:ptCount val="100"/>
                <c:pt idx="0">
                  <c:v>-39.555555555555557</c:v>
                </c:pt>
                <c:pt idx="1">
                  <c:v>-40.555555555555557</c:v>
                </c:pt>
                <c:pt idx="2">
                  <c:v>-34.111111111111114</c:v>
                </c:pt>
                <c:pt idx="3">
                  <c:v>-32.777777777777779</c:v>
                </c:pt>
                <c:pt idx="4">
                  <c:v>-27.444444444444443</c:v>
                </c:pt>
                <c:pt idx="5">
                  <c:v>-28.222222222222221</c:v>
                </c:pt>
                <c:pt idx="6">
                  <c:v>-22.777777777777779</c:v>
                </c:pt>
                <c:pt idx="7">
                  <c:v>-19.222222222222221</c:v>
                </c:pt>
                <c:pt idx="8">
                  <c:v>-20</c:v>
                </c:pt>
                <c:pt idx="9">
                  <c:v>-15.111111111111111</c:v>
                </c:pt>
                <c:pt idx="10">
                  <c:v>-18.333333333333332</c:v>
                </c:pt>
                <c:pt idx="11">
                  <c:v>-17.333333333333332</c:v>
                </c:pt>
                <c:pt idx="12">
                  <c:v>-15.444444444444445</c:v>
                </c:pt>
                <c:pt idx="13">
                  <c:v>-16.777777777777779</c:v>
                </c:pt>
                <c:pt idx="14">
                  <c:v>-16</c:v>
                </c:pt>
                <c:pt idx="15">
                  <c:v>-18.111111111111111</c:v>
                </c:pt>
                <c:pt idx="16">
                  <c:v>-21.444444444444443</c:v>
                </c:pt>
                <c:pt idx="17">
                  <c:v>-24.333333333333332</c:v>
                </c:pt>
                <c:pt idx="18">
                  <c:v>-68.555555555555557</c:v>
                </c:pt>
                <c:pt idx="19">
                  <c:v>-85.444444444444443</c:v>
                </c:pt>
                <c:pt idx="20">
                  <c:v>-112.33333333333333</c:v>
                </c:pt>
                <c:pt idx="21">
                  <c:v>-119</c:v>
                </c:pt>
                <c:pt idx="22">
                  <c:v>-111.77777777777777</c:v>
                </c:pt>
                <c:pt idx="23">
                  <c:v>-107.22222222222223</c:v>
                </c:pt>
                <c:pt idx="24">
                  <c:v>-103.22222222222223</c:v>
                </c:pt>
                <c:pt idx="25">
                  <c:v>-93.222222222222229</c:v>
                </c:pt>
                <c:pt idx="26">
                  <c:v>-92</c:v>
                </c:pt>
                <c:pt idx="27">
                  <c:v>-86.111111111111114</c:v>
                </c:pt>
                <c:pt idx="28">
                  <c:v>-79.777777777777771</c:v>
                </c:pt>
                <c:pt idx="29">
                  <c:v>-72.888888888888886</c:v>
                </c:pt>
                <c:pt idx="30">
                  <c:v>-70.222222222222229</c:v>
                </c:pt>
                <c:pt idx="31">
                  <c:v>-58.555555555555557</c:v>
                </c:pt>
                <c:pt idx="32">
                  <c:v>-56.111111111111114</c:v>
                </c:pt>
                <c:pt idx="33">
                  <c:v>-57.111111111111114</c:v>
                </c:pt>
                <c:pt idx="34">
                  <c:v>-50.333333333333336</c:v>
                </c:pt>
                <c:pt idx="35">
                  <c:v>-45.777777777777779</c:v>
                </c:pt>
                <c:pt idx="36">
                  <c:v>-42.777777777777779</c:v>
                </c:pt>
                <c:pt idx="37">
                  <c:v>-38.222222222222221</c:v>
                </c:pt>
                <c:pt idx="38">
                  <c:v>-36.222222222222221</c:v>
                </c:pt>
                <c:pt idx="39">
                  <c:v>-34.444444444444443</c:v>
                </c:pt>
                <c:pt idx="40">
                  <c:v>-30.555555555555557</c:v>
                </c:pt>
                <c:pt idx="41">
                  <c:v>-26.222222222222221</c:v>
                </c:pt>
                <c:pt idx="42">
                  <c:v>-26.666666666666668</c:v>
                </c:pt>
                <c:pt idx="43">
                  <c:v>-25.444444444444443</c:v>
                </c:pt>
                <c:pt idx="44">
                  <c:v>-24.555555555555557</c:v>
                </c:pt>
                <c:pt idx="45">
                  <c:v>-22.222222222222221</c:v>
                </c:pt>
                <c:pt idx="46">
                  <c:v>-24.444444444444443</c:v>
                </c:pt>
                <c:pt idx="47">
                  <c:v>-19.666666666666668</c:v>
                </c:pt>
                <c:pt idx="48">
                  <c:v>-24.333333333333332</c:v>
                </c:pt>
                <c:pt idx="49">
                  <c:v>-20.888888888888889</c:v>
                </c:pt>
                <c:pt idx="50">
                  <c:v>-22.444444444444443</c:v>
                </c:pt>
                <c:pt idx="51">
                  <c:v>-19</c:v>
                </c:pt>
                <c:pt idx="52">
                  <c:v>-19</c:v>
                </c:pt>
                <c:pt idx="53">
                  <c:v>-18.111111111111111</c:v>
                </c:pt>
                <c:pt idx="54">
                  <c:v>-18.444444444444443</c:v>
                </c:pt>
                <c:pt idx="55">
                  <c:v>-14.222222222222221</c:v>
                </c:pt>
                <c:pt idx="56">
                  <c:v>-13.666666666666666</c:v>
                </c:pt>
                <c:pt idx="57">
                  <c:v>-15.777777777777779</c:v>
                </c:pt>
                <c:pt idx="58">
                  <c:v>-14.555555555555555</c:v>
                </c:pt>
                <c:pt idx="59">
                  <c:v>-9.6666666666666661</c:v>
                </c:pt>
                <c:pt idx="60">
                  <c:v>-10.333333333333334</c:v>
                </c:pt>
                <c:pt idx="61">
                  <c:v>-10</c:v>
                </c:pt>
                <c:pt idx="62">
                  <c:v>-8.1111111111111107</c:v>
                </c:pt>
                <c:pt idx="63">
                  <c:v>-8.8888888888888893</c:v>
                </c:pt>
                <c:pt idx="64">
                  <c:v>-10.111111111111111</c:v>
                </c:pt>
                <c:pt idx="65">
                  <c:v>-9.6666666666666661</c:v>
                </c:pt>
                <c:pt idx="66">
                  <c:v>-7.5555555555555554</c:v>
                </c:pt>
                <c:pt idx="67">
                  <c:v>-7.1111111111111107</c:v>
                </c:pt>
                <c:pt idx="68">
                  <c:v>-5.4444444444444446</c:v>
                </c:pt>
                <c:pt idx="69">
                  <c:v>-4.8888888888888893</c:v>
                </c:pt>
                <c:pt idx="70">
                  <c:v>-3.3333333333333335</c:v>
                </c:pt>
                <c:pt idx="71">
                  <c:v>-4.1111111111111107</c:v>
                </c:pt>
                <c:pt idx="72">
                  <c:v>-4.5555555555555554</c:v>
                </c:pt>
                <c:pt idx="73">
                  <c:v>-3</c:v>
                </c:pt>
                <c:pt idx="74">
                  <c:v>-3.2222222222222223</c:v>
                </c:pt>
                <c:pt idx="75">
                  <c:v>-3.6666666666666665</c:v>
                </c:pt>
                <c:pt idx="76">
                  <c:v>-2.7777777777777777</c:v>
                </c:pt>
                <c:pt idx="77">
                  <c:v>-2.3333333333333335</c:v>
                </c:pt>
                <c:pt idx="78">
                  <c:v>-4.4444444444444446</c:v>
                </c:pt>
                <c:pt idx="79">
                  <c:v>-2.3333333333333335</c:v>
                </c:pt>
                <c:pt idx="80">
                  <c:v>-1.8888888888888888</c:v>
                </c:pt>
                <c:pt idx="81">
                  <c:v>-1.6666666666666667</c:v>
                </c:pt>
                <c:pt idx="82">
                  <c:v>-2.3333333333333335</c:v>
                </c:pt>
                <c:pt idx="83">
                  <c:v>-1.2222222222222223</c:v>
                </c:pt>
                <c:pt idx="84">
                  <c:v>-2</c:v>
                </c:pt>
                <c:pt idx="85">
                  <c:v>-0.88888888888888884</c:v>
                </c:pt>
                <c:pt idx="86">
                  <c:v>-0.88888888888888884</c:v>
                </c:pt>
                <c:pt idx="87">
                  <c:v>-1.5555555555555556</c:v>
                </c:pt>
                <c:pt idx="88">
                  <c:v>-0.77777777777777779</c:v>
                </c:pt>
                <c:pt idx="89">
                  <c:v>-0.55555555555555558</c:v>
                </c:pt>
                <c:pt idx="90">
                  <c:v>-1.2222222222222223</c:v>
                </c:pt>
                <c:pt idx="91">
                  <c:v>-0.55555555555555558</c:v>
                </c:pt>
                <c:pt idx="92">
                  <c:v>-0.33333333333333331</c:v>
                </c:pt>
                <c:pt idx="93">
                  <c:v>0</c:v>
                </c:pt>
                <c:pt idx="94">
                  <c:v>-0.33333333333333331</c:v>
                </c:pt>
                <c:pt idx="95">
                  <c:v>-0.33333333333333331</c:v>
                </c:pt>
                <c:pt idx="96">
                  <c:v>0</c:v>
                </c:pt>
                <c:pt idx="97">
                  <c:v>-0.22222222222222221</c:v>
                </c:pt>
                <c:pt idx="98">
                  <c:v>-0.1111111111111111</c:v>
                </c:pt>
                <c:pt idx="99">
                  <c:v>-0.22222222222222221</c:v>
                </c:pt>
              </c:numCache>
            </c:numRef>
          </c:val>
          <c:extLst>
            <c:ext xmlns:c16="http://schemas.microsoft.com/office/drawing/2014/chart" uri="{C3380CC4-5D6E-409C-BE32-E72D297353CC}">
              <c16:uniqueId val="{00000001-6FC6-4B6C-97C7-B8477368916E}"/>
            </c:ext>
          </c:extLst>
        </c:ser>
        <c:dLbls>
          <c:showLegendKey val="0"/>
          <c:showVal val="0"/>
          <c:showCatName val="0"/>
          <c:showSerName val="0"/>
          <c:showPercent val="0"/>
          <c:showBubbleSize val="0"/>
        </c:dLbls>
        <c:gapWidth val="75"/>
        <c:overlap val="-25"/>
        <c:axId val="43895040"/>
        <c:axId val="43896832"/>
      </c:barChart>
      <c:lineChart>
        <c:grouping val="standard"/>
        <c:varyColors val="0"/>
        <c:ser>
          <c:idx val="2"/>
          <c:order val="2"/>
          <c:tx>
            <c:v>Netto, flyttebalance</c:v>
          </c:tx>
          <c:spPr>
            <a:ln>
              <a:solidFill>
                <a:schemeClr val="tx1"/>
              </a:solidFill>
            </a:ln>
          </c:spPr>
          <c:marker>
            <c:symbol val="none"/>
          </c:marker>
          <c:val>
            <c:numRef>
              <c:f>DST!$AZ$4:$AZ$103</c:f>
              <c:numCache>
                <c:formatCode>General</c:formatCode>
                <c:ptCount val="100"/>
                <c:pt idx="0">
                  <c:v>21.444444444444443</c:v>
                </c:pt>
                <c:pt idx="1">
                  <c:v>7.7777777777777786</c:v>
                </c:pt>
                <c:pt idx="2">
                  <c:v>6.3333333333333286</c:v>
                </c:pt>
                <c:pt idx="3">
                  <c:v>1.4444444444444429</c:v>
                </c:pt>
                <c:pt idx="4">
                  <c:v>2.5555555555555571</c:v>
                </c:pt>
                <c:pt idx="5">
                  <c:v>-3.3333333333333321</c:v>
                </c:pt>
                <c:pt idx="6">
                  <c:v>0.77777777777777857</c:v>
                </c:pt>
                <c:pt idx="7">
                  <c:v>-1.2222222222222214</c:v>
                </c:pt>
                <c:pt idx="8">
                  <c:v>-1.6666666666666679</c:v>
                </c:pt>
                <c:pt idx="9">
                  <c:v>2.2222222222222214</c:v>
                </c:pt>
                <c:pt idx="10">
                  <c:v>-0.11111111111111072</c:v>
                </c:pt>
                <c:pt idx="11">
                  <c:v>0.66666666666666785</c:v>
                </c:pt>
                <c:pt idx="12">
                  <c:v>1.1111111111111125</c:v>
                </c:pt>
                <c:pt idx="13">
                  <c:v>-1.1111111111111125</c:v>
                </c:pt>
                <c:pt idx="14">
                  <c:v>3.7777777777777786</c:v>
                </c:pt>
                <c:pt idx="15" formatCode="0.000000000">
                  <c:v>2</c:v>
                </c:pt>
                <c:pt idx="16" formatCode="0.000000000">
                  <c:v>5</c:v>
                </c:pt>
                <c:pt idx="17">
                  <c:v>4.6666666666666679</c:v>
                </c:pt>
                <c:pt idx="18">
                  <c:v>-6.3333333333333357</c:v>
                </c:pt>
                <c:pt idx="19">
                  <c:v>-8</c:v>
                </c:pt>
                <c:pt idx="20">
                  <c:v>-17.1111111111111</c:v>
                </c:pt>
                <c:pt idx="21">
                  <c:v>-10.333333333333329</c:v>
                </c:pt>
                <c:pt idx="22">
                  <c:v>-1.3333333333333286</c:v>
                </c:pt>
                <c:pt idx="23">
                  <c:v>4.8888888888888857</c:v>
                </c:pt>
                <c:pt idx="24">
                  <c:v>5.3333333333333286</c:v>
                </c:pt>
                <c:pt idx="25">
                  <c:v>17.222222222222214</c:v>
                </c:pt>
                <c:pt idx="26">
                  <c:v>12.111111111111114</c:v>
                </c:pt>
                <c:pt idx="27">
                  <c:v>12.777777777777771</c:v>
                </c:pt>
                <c:pt idx="28">
                  <c:v>15.333333333333343</c:v>
                </c:pt>
                <c:pt idx="29">
                  <c:v>11.333333333333343</c:v>
                </c:pt>
                <c:pt idx="30">
                  <c:v>11.1111111111111</c:v>
                </c:pt>
                <c:pt idx="31">
                  <c:v>14</c:v>
                </c:pt>
                <c:pt idx="32">
                  <c:v>13.555555555555557</c:v>
                </c:pt>
                <c:pt idx="33">
                  <c:v>1.1111111111111072</c:v>
                </c:pt>
                <c:pt idx="34">
                  <c:v>5.4444444444444429</c:v>
                </c:pt>
                <c:pt idx="35">
                  <c:v>4.3333333333333357</c:v>
                </c:pt>
                <c:pt idx="36">
                  <c:v>4.5555555555555571</c:v>
                </c:pt>
                <c:pt idx="37">
                  <c:v>3.3333333333333357</c:v>
                </c:pt>
                <c:pt idx="38">
                  <c:v>5.5555555555555571</c:v>
                </c:pt>
                <c:pt idx="39">
                  <c:v>0.6666666666666714</c:v>
                </c:pt>
                <c:pt idx="40">
                  <c:v>1.7777777777777786</c:v>
                </c:pt>
                <c:pt idx="41">
                  <c:v>4.4444444444444464</c:v>
                </c:pt>
                <c:pt idx="42">
                  <c:v>1.1111111111111107</c:v>
                </c:pt>
                <c:pt idx="43">
                  <c:v>-0.11111111111111072</c:v>
                </c:pt>
                <c:pt idx="44">
                  <c:v>0.44444444444444287</c:v>
                </c:pt>
                <c:pt idx="45">
                  <c:v>0.77777777777777857</c:v>
                </c:pt>
                <c:pt idx="46">
                  <c:v>-0.22222222222222143</c:v>
                </c:pt>
                <c:pt idx="47">
                  <c:v>3.1111111111111107</c:v>
                </c:pt>
                <c:pt idx="48">
                  <c:v>0.77777777777777857</c:v>
                </c:pt>
                <c:pt idx="49">
                  <c:v>-1.7777777777777786</c:v>
                </c:pt>
                <c:pt idx="50">
                  <c:v>0.44444444444444642</c:v>
                </c:pt>
                <c:pt idx="51">
                  <c:v>1.3333333333333321</c:v>
                </c:pt>
                <c:pt idx="52">
                  <c:v>-2.4444444444444429</c:v>
                </c:pt>
                <c:pt idx="53">
                  <c:v>-2.6666666666666661</c:v>
                </c:pt>
                <c:pt idx="54">
                  <c:v>-3.1111111111111089</c:v>
                </c:pt>
                <c:pt idx="55">
                  <c:v>0.44444444444444464</c:v>
                </c:pt>
                <c:pt idx="56">
                  <c:v>-0.11111111111111072</c:v>
                </c:pt>
                <c:pt idx="57">
                  <c:v>-4.7777777777777786</c:v>
                </c:pt>
                <c:pt idx="58">
                  <c:v>-2.5555555555555554</c:v>
                </c:pt>
                <c:pt idx="59">
                  <c:v>0.88888888888888928</c:v>
                </c:pt>
                <c:pt idx="60">
                  <c:v>-2.8888888888888893</c:v>
                </c:pt>
                <c:pt idx="61">
                  <c:v>-2.7777777777777777</c:v>
                </c:pt>
                <c:pt idx="62">
                  <c:v>-0.66666666666666607</c:v>
                </c:pt>
                <c:pt idx="63">
                  <c:v>-2.3333333333333339</c:v>
                </c:pt>
                <c:pt idx="64">
                  <c:v>-3.5555555555555554</c:v>
                </c:pt>
                <c:pt idx="65">
                  <c:v>-3.2222222222222214</c:v>
                </c:pt>
                <c:pt idx="66">
                  <c:v>-2</c:v>
                </c:pt>
                <c:pt idx="67">
                  <c:v>-2.4444444444444438</c:v>
                </c:pt>
                <c:pt idx="68">
                  <c:v>-1.5555555555555558</c:v>
                </c:pt>
                <c:pt idx="69">
                  <c:v>-1.4444444444444446</c:v>
                </c:pt>
                <c:pt idx="70">
                  <c:v>0.88888888888888884</c:v>
                </c:pt>
                <c:pt idx="71">
                  <c:v>-0.99999999999999956</c:v>
                </c:pt>
                <c:pt idx="72">
                  <c:v>-0.66666666666666652</c:v>
                </c:pt>
                <c:pt idx="73">
                  <c:v>-0.88888888888888884</c:v>
                </c:pt>
                <c:pt idx="74">
                  <c:v>-1.5555555555555556</c:v>
                </c:pt>
                <c:pt idx="75">
                  <c:v>-1.4444444444444442</c:v>
                </c:pt>
                <c:pt idx="76">
                  <c:v>-1.2222222222222221</c:v>
                </c:pt>
                <c:pt idx="77">
                  <c:v>-0.44444444444444464</c:v>
                </c:pt>
                <c:pt idx="78">
                  <c:v>-2.666666666666667</c:v>
                </c:pt>
                <c:pt idx="79">
                  <c:v>-1.1111111111111112</c:v>
                </c:pt>
                <c:pt idx="80">
                  <c:v>-0.88888888888888884</c:v>
                </c:pt>
                <c:pt idx="81">
                  <c:v>-0.66666666666666674</c:v>
                </c:pt>
                <c:pt idx="82">
                  <c:v>-1.2222222222222223</c:v>
                </c:pt>
                <c:pt idx="83">
                  <c:v>0.11111111111111094</c:v>
                </c:pt>
                <c:pt idx="84">
                  <c:v>-1.2222222222222223</c:v>
                </c:pt>
                <c:pt idx="85">
                  <c:v>-0.22222222222222221</c:v>
                </c:pt>
                <c:pt idx="86">
                  <c:v>-0.22222222222222221</c:v>
                </c:pt>
                <c:pt idx="87">
                  <c:v>-1.4444444444444444</c:v>
                </c:pt>
                <c:pt idx="88">
                  <c:v>-0.22222222222222221</c:v>
                </c:pt>
                <c:pt idx="89">
                  <c:v>0.11111111111111105</c:v>
                </c:pt>
                <c:pt idx="90">
                  <c:v>-1</c:v>
                </c:pt>
                <c:pt idx="91">
                  <c:v>-0.22222222222222227</c:v>
                </c:pt>
                <c:pt idx="92">
                  <c:v>0</c:v>
                </c:pt>
                <c:pt idx="93">
                  <c:v>0.1111111111111111</c:v>
                </c:pt>
                <c:pt idx="94">
                  <c:v>-0.33333333333333331</c:v>
                </c:pt>
                <c:pt idx="95">
                  <c:v>-0.33333333333333331</c:v>
                </c:pt>
                <c:pt idx="96">
                  <c:v>0.1111111111111111</c:v>
                </c:pt>
                <c:pt idx="97">
                  <c:v>-0.22222222222222221</c:v>
                </c:pt>
                <c:pt idx="98">
                  <c:v>-0.1111111111111111</c:v>
                </c:pt>
                <c:pt idx="99">
                  <c:v>-0.1111111111111111</c:v>
                </c:pt>
              </c:numCache>
            </c:numRef>
          </c:val>
          <c:smooth val="1"/>
          <c:extLst>
            <c:ext xmlns:c16="http://schemas.microsoft.com/office/drawing/2014/chart" uri="{C3380CC4-5D6E-409C-BE32-E72D297353CC}">
              <c16:uniqueId val="{00000002-6FC6-4B6C-97C7-B8477368916E}"/>
            </c:ext>
          </c:extLst>
        </c:ser>
        <c:dLbls>
          <c:showLegendKey val="0"/>
          <c:showVal val="0"/>
          <c:showCatName val="0"/>
          <c:showSerName val="0"/>
          <c:showPercent val="0"/>
          <c:showBubbleSize val="0"/>
        </c:dLbls>
        <c:marker val="1"/>
        <c:smooth val="0"/>
        <c:axId val="43895040"/>
        <c:axId val="43896832"/>
      </c:lineChart>
      <c:catAx>
        <c:axId val="43895040"/>
        <c:scaling>
          <c:orientation val="minMax"/>
        </c:scaling>
        <c:delete val="0"/>
        <c:axPos val="b"/>
        <c:numFmt formatCode="General" sourceLinked="0"/>
        <c:majorTickMark val="none"/>
        <c:minorTickMark val="none"/>
        <c:tickLblPos val="nextTo"/>
        <c:txPr>
          <a:bodyPr rot="5400000" vert="horz"/>
          <a:lstStyle/>
          <a:p>
            <a:pPr>
              <a:defRPr/>
            </a:pPr>
            <a:endParaRPr lang="da-DK"/>
          </a:p>
        </c:txPr>
        <c:crossAx val="43896832"/>
        <c:crosses val="autoZero"/>
        <c:auto val="1"/>
        <c:lblAlgn val="ctr"/>
        <c:lblOffset val="100"/>
        <c:noMultiLvlLbl val="0"/>
      </c:catAx>
      <c:valAx>
        <c:axId val="43896832"/>
        <c:scaling>
          <c:orientation val="minMax"/>
          <c:max val="120"/>
          <c:min val="-120"/>
        </c:scaling>
        <c:delete val="0"/>
        <c:axPos val="l"/>
        <c:majorGridlines/>
        <c:numFmt formatCode="General" sourceLinked="1"/>
        <c:majorTickMark val="none"/>
        <c:minorTickMark val="none"/>
        <c:tickLblPos val="nextTo"/>
        <c:spPr>
          <a:ln w="9525">
            <a:noFill/>
          </a:ln>
        </c:spPr>
        <c:crossAx val="43895040"/>
        <c:crosses val="autoZero"/>
        <c:crossBetween val="between"/>
        <c:majorUnit val="30"/>
      </c:valAx>
    </c:plotArea>
    <c:legend>
      <c:legendPos val="b"/>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007818817600485E-2"/>
          <c:y val="5.5325284339457569E-2"/>
          <c:w val="0.81314334130946564"/>
          <c:h val="0.89697063867016624"/>
        </c:manualLayout>
      </c:layout>
      <c:barChart>
        <c:barDir val="col"/>
        <c:grouping val="stacked"/>
        <c:varyColors val="0"/>
        <c:ser>
          <c:idx val="0"/>
          <c:order val="0"/>
          <c:tx>
            <c:strRef>
              <c:f>'Ark1'!$T$2</c:f>
              <c:strCache>
                <c:ptCount val="1"/>
                <c:pt idx="0">
                  <c:v>Parcel</c:v>
                </c:pt>
              </c:strCache>
            </c:strRef>
          </c:tx>
          <c:invertIfNegative val="0"/>
          <c:cat>
            <c:numRef>
              <c:f>'Ark1'!$U$1:$AB$1</c:f>
              <c:numCache>
                <c:formatCode>General</c:formatCode>
                <c:ptCount val="8"/>
                <c:pt idx="0">
                  <c:v>2020</c:v>
                </c:pt>
                <c:pt idx="1">
                  <c:v>2021</c:v>
                </c:pt>
                <c:pt idx="2">
                  <c:v>2022</c:v>
                </c:pt>
                <c:pt idx="3">
                  <c:v>2023</c:v>
                </c:pt>
                <c:pt idx="4">
                  <c:v>2024</c:v>
                </c:pt>
                <c:pt idx="5">
                  <c:v>2025</c:v>
                </c:pt>
                <c:pt idx="6">
                  <c:v>2026</c:v>
                </c:pt>
                <c:pt idx="7">
                  <c:v>2027</c:v>
                </c:pt>
              </c:numCache>
            </c:numRef>
          </c:cat>
          <c:val>
            <c:numRef>
              <c:f>'Ark1'!$U$2:$AB$2</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0-75E7-45C1-A909-FD3E8E68EB30}"/>
            </c:ext>
          </c:extLst>
        </c:ser>
        <c:ser>
          <c:idx val="1"/>
          <c:order val="1"/>
          <c:tx>
            <c:strRef>
              <c:f>'Ark1'!$T$3</c:f>
              <c:strCache>
                <c:ptCount val="1"/>
                <c:pt idx="0">
                  <c:v>Række</c:v>
                </c:pt>
              </c:strCache>
            </c:strRef>
          </c:tx>
          <c:invertIfNegative val="0"/>
          <c:cat>
            <c:numRef>
              <c:f>'Ark1'!$U$1:$AB$1</c:f>
              <c:numCache>
                <c:formatCode>General</c:formatCode>
                <c:ptCount val="8"/>
                <c:pt idx="0">
                  <c:v>2020</c:v>
                </c:pt>
                <c:pt idx="1">
                  <c:v>2021</c:v>
                </c:pt>
                <c:pt idx="2">
                  <c:v>2022</c:v>
                </c:pt>
                <c:pt idx="3">
                  <c:v>2023</c:v>
                </c:pt>
                <c:pt idx="4">
                  <c:v>2024</c:v>
                </c:pt>
                <c:pt idx="5">
                  <c:v>2025</c:v>
                </c:pt>
                <c:pt idx="6">
                  <c:v>2026</c:v>
                </c:pt>
                <c:pt idx="7">
                  <c:v>2027</c:v>
                </c:pt>
              </c:numCache>
            </c:numRef>
          </c:cat>
          <c:val>
            <c:numRef>
              <c:f>'Ark1'!$U$3:$AB$3</c:f>
              <c:numCache>
                <c:formatCode>0</c:formatCode>
                <c:ptCount val="8"/>
                <c:pt idx="0">
                  <c:v>0</c:v>
                </c:pt>
                <c:pt idx="1">
                  <c:v>8</c:v>
                </c:pt>
                <c:pt idx="2">
                  <c:v>8</c:v>
                </c:pt>
                <c:pt idx="3">
                  <c:v>22</c:v>
                </c:pt>
                <c:pt idx="4">
                  <c:v>48</c:v>
                </c:pt>
                <c:pt idx="5">
                  <c:v>0</c:v>
                </c:pt>
                <c:pt idx="6">
                  <c:v>0</c:v>
                </c:pt>
                <c:pt idx="7">
                  <c:v>30</c:v>
                </c:pt>
              </c:numCache>
            </c:numRef>
          </c:val>
          <c:extLst>
            <c:ext xmlns:c16="http://schemas.microsoft.com/office/drawing/2014/chart" uri="{C3380CC4-5D6E-409C-BE32-E72D297353CC}">
              <c16:uniqueId val="{00000001-75E7-45C1-A909-FD3E8E68EB30}"/>
            </c:ext>
          </c:extLst>
        </c:ser>
        <c:ser>
          <c:idx val="2"/>
          <c:order val="2"/>
          <c:tx>
            <c:strRef>
              <c:f>'Ark1'!$T$4</c:f>
              <c:strCache>
                <c:ptCount val="1"/>
                <c:pt idx="0">
                  <c:v>Etage</c:v>
                </c:pt>
              </c:strCache>
            </c:strRef>
          </c:tx>
          <c:invertIfNegative val="0"/>
          <c:cat>
            <c:numRef>
              <c:f>'Ark1'!$U$1:$AB$1</c:f>
              <c:numCache>
                <c:formatCode>General</c:formatCode>
                <c:ptCount val="8"/>
                <c:pt idx="0">
                  <c:v>2020</c:v>
                </c:pt>
                <c:pt idx="1">
                  <c:v>2021</c:v>
                </c:pt>
                <c:pt idx="2">
                  <c:v>2022</c:v>
                </c:pt>
                <c:pt idx="3">
                  <c:v>2023</c:v>
                </c:pt>
                <c:pt idx="4">
                  <c:v>2024</c:v>
                </c:pt>
                <c:pt idx="5">
                  <c:v>2025</c:v>
                </c:pt>
                <c:pt idx="6">
                  <c:v>2026</c:v>
                </c:pt>
                <c:pt idx="7">
                  <c:v>2027</c:v>
                </c:pt>
              </c:numCache>
            </c:numRef>
          </c:cat>
          <c:val>
            <c:numRef>
              <c:f>'Ark1'!$U$4:$AB$4</c:f>
              <c:numCache>
                <c:formatCode>General</c:formatCode>
                <c:ptCount val="8"/>
                <c:pt idx="0">
                  <c:v>0</c:v>
                </c:pt>
                <c:pt idx="1">
                  <c:v>329</c:v>
                </c:pt>
                <c:pt idx="2">
                  <c:v>513</c:v>
                </c:pt>
                <c:pt idx="3">
                  <c:v>714</c:v>
                </c:pt>
                <c:pt idx="4">
                  <c:v>493</c:v>
                </c:pt>
                <c:pt idx="5">
                  <c:v>259</c:v>
                </c:pt>
                <c:pt idx="6">
                  <c:v>0</c:v>
                </c:pt>
                <c:pt idx="7">
                  <c:v>0</c:v>
                </c:pt>
              </c:numCache>
            </c:numRef>
          </c:val>
          <c:extLst>
            <c:ext xmlns:c16="http://schemas.microsoft.com/office/drawing/2014/chart" uri="{C3380CC4-5D6E-409C-BE32-E72D297353CC}">
              <c16:uniqueId val="{00000002-75E7-45C1-A909-FD3E8E68EB30}"/>
            </c:ext>
          </c:extLst>
        </c:ser>
        <c:ser>
          <c:idx val="3"/>
          <c:order val="3"/>
          <c:tx>
            <c:strRef>
              <c:f>'Ark1'!$T$5</c:f>
              <c:strCache>
                <c:ptCount val="1"/>
                <c:pt idx="0">
                  <c:v>Ældre</c:v>
                </c:pt>
              </c:strCache>
            </c:strRef>
          </c:tx>
          <c:invertIfNegative val="0"/>
          <c:cat>
            <c:numRef>
              <c:f>'Ark1'!$U$1:$AB$1</c:f>
              <c:numCache>
                <c:formatCode>General</c:formatCode>
                <c:ptCount val="8"/>
                <c:pt idx="0">
                  <c:v>2020</c:v>
                </c:pt>
                <c:pt idx="1">
                  <c:v>2021</c:v>
                </c:pt>
                <c:pt idx="2">
                  <c:v>2022</c:v>
                </c:pt>
                <c:pt idx="3">
                  <c:v>2023</c:v>
                </c:pt>
                <c:pt idx="4">
                  <c:v>2024</c:v>
                </c:pt>
                <c:pt idx="5">
                  <c:v>2025</c:v>
                </c:pt>
                <c:pt idx="6">
                  <c:v>2026</c:v>
                </c:pt>
                <c:pt idx="7">
                  <c:v>2027</c:v>
                </c:pt>
              </c:numCache>
            </c:numRef>
          </c:cat>
          <c:val>
            <c:numRef>
              <c:f>'Ark1'!$U$5:$AB$5</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3-75E7-45C1-A909-FD3E8E68EB30}"/>
            </c:ext>
          </c:extLst>
        </c:ser>
        <c:ser>
          <c:idx val="4"/>
          <c:order val="4"/>
          <c:tx>
            <c:strRef>
              <c:f>'Ark1'!$T$6</c:f>
              <c:strCache>
                <c:ptCount val="1"/>
                <c:pt idx="0">
                  <c:v>Ungdom</c:v>
                </c:pt>
              </c:strCache>
            </c:strRef>
          </c:tx>
          <c:invertIfNegative val="0"/>
          <c:cat>
            <c:numRef>
              <c:f>'Ark1'!$U$1:$AB$1</c:f>
              <c:numCache>
                <c:formatCode>General</c:formatCode>
                <c:ptCount val="8"/>
                <c:pt idx="0">
                  <c:v>2020</c:v>
                </c:pt>
                <c:pt idx="1">
                  <c:v>2021</c:v>
                </c:pt>
                <c:pt idx="2">
                  <c:v>2022</c:v>
                </c:pt>
                <c:pt idx="3">
                  <c:v>2023</c:v>
                </c:pt>
                <c:pt idx="4">
                  <c:v>2024</c:v>
                </c:pt>
                <c:pt idx="5">
                  <c:v>2025</c:v>
                </c:pt>
                <c:pt idx="6">
                  <c:v>2026</c:v>
                </c:pt>
                <c:pt idx="7">
                  <c:v>2027</c:v>
                </c:pt>
              </c:numCache>
            </c:numRef>
          </c:cat>
          <c:val>
            <c:numRef>
              <c:f>'Ark1'!$U$6:$AB$6</c:f>
              <c:numCache>
                <c:formatCode>#,##0</c:formatCode>
                <c:ptCount val="8"/>
                <c:pt idx="0">
                  <c:v>170</c:v>
                </c:pt>
                <c:pt idx="1">
                  <c:v>110</c:v>
                </c:pt>
                <c:pt idx="2">
                  <c:v>110</c:v>
                </c:pt>
                <c:pt idx="3">
                  <c:v>110</c:v>
                </c:pt>
                <c:pt idx="4">
                  <c:v>0</c:v>
                </c:pt>
                <c:pt idx="5">
                  <c:v>0</c:v>
                </c:pt>
                <c:pt idx="6">
                  <c:v>0</c:v>
                </c:pt>
                <c:pt idx="7">
                  <c:v>0</c:v>
                </c:pt>
              </c:numCache>
            </c:numRef>
          </c:val>
          <c:extLst>
            <c:ext xmlns:c16="http://schemas.microsoft.com/office/drawing/2014/chart" uri="{C3380CC4-5D6E-409C-BE32-E72D297353CC}">
              <c16:uniqueId val="{00000004-75E7-45C1-A909-FD3E8E68EB30}"/>
            </c:ext>
          </c:extLst>
        </c:ser>
        <c:dLbls>
          <c:showLegendKey val="0"/>
          <c:showVal val="0"/>
          <c:showCatName val="0"/>
          <c:showSerName val="0"/>
          <c:showPercent val="0"/>
          <c:showBubbleSize val="0"/>
        </c:dLbls>
        <c:gapWidth val="75"/>
        <c:overlap val="100"/>
        <c:axId val="47592576"/>
        <c:axId val="47594112"/>
      </c:barChart>
      <c:catAx>
        <c:axId val="47592576"/>
        <c:scaling>
          <c:orientation val="minMax"/>
        </c:scaling>
        <c:delete val="0"/>
        <c:axPos val="b"/>
        <c:numFmt formatCode="General" sourceLinked="1"/>
        <c:majorTickMark val="none"/>
        <c:minorTickMark val="none"/>
        <c:tickLblPos val="nextTo"/>
        <c:crossAx val="47594112"/>
        <c:crosses val="autoZero"/>
        <c:auto val="1"/>
        <c:lblAlgn val="ctr"/>
        <c:lblOffset val="100"/>
        <c:tickLblSkip val="1"/>
        <c:noMultiLvlLbl val="0"/>
      </c:catAx>
      <c:valAx>
        <c:axId val="47594112"/>
        <c:scaling>
          <c:orientation val="minMax"/>
          <c:max val="500"/>
        </c:scaling>
        <c:delete val="0"/>
        <c:axPos val="l"/>
        <c:majorGridlines/>
        <c:minorGridlines/>
        <c:title>
          <c:tx>
            <c:rich>
              <a:bodyPr/>
              <a:lstStyle/>
              <a:p>
                <a:pPr>
                  <a:defRPr/>
                </a:pPr>
                <a:r>
                  <a:rPr lang="da-DK"/>
                  <a:t>Antal boliger</a:t>
                </a:r>
              </a:p>
              <a:p>
                <a:pPr>
                  <a:defRPr/>
                </a:pPr>
                <a:endParaRPr lang="da-DK"/>
              </a:p>
            </c:rich>
          </c:tx>
          <c:overlay val="0"/>
        </c:title>
        <c:numFmt formatCode="General" sourceLinked="1"/>
        <c:majorTickMark val="out"/>
        <c:minorTickMark val="none"/>
        <c:tickLblPos val="nextTo"/>
        <c:crossAx val="47592576"/>
        <c:crosses val="autoZero"/>
        <c:crossBetween val="between"/>
      </c:valAx>
    </c:plotArea>
    <c:legend>
      <c:legendPos val="r"/>
      <c:overlay val="0"/>
    </c:legend>
    <c:plotVisOnly val="1"/>
    <c:dispBlanksAs val="gap"/>
    <c:showDLblsOverMax val="0"/>
  </c:chart>
  <c:spPr>
    <a:ln>
      <a:noFill/>
    </a:ln>
    <a:scene3d>
      <a:camera prst="orthographicFront"/>
      <a:lightRig rig="threePt" dir="t"/>
    </a:scene3d>
    <a:sp3d>
      <a:bevelT w="0" h="0"/>
    </a:sp3d>
  </c:spPr>
  <c:externalData r:id="rId1">
    <c:autoUpdate val="0"/>
  </c:externalData>
</c:chartSpace>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36B72-2958-4CF0-A0C0-FE6A095F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6088</Words>
  <Characters>35069</Characters>
  <Application>Microsoft Office Word</Application>
  <DocSecurity>0</DocSecurity>
  <Lines>5009</Lines>
  <Paragraphs>1714</Paragraphs>
  <ScaleCrop>false</ScaleCrop>
  <HeadingPairs>
    <vt:vector size="2" baseType="variant">
      <vt:variant>
        <vt:lpstr>Titel</vt:lpstr>
      </vt:variant>
      <vt:variant>
        <vt:i4>1</vt:i4>
      </vt:variant>
    </vt:vector>
  </HeadingPairs>
  <TitlesOfParts>
    <vt:vector size="1" baseType="lpstr">
      <vt:lpstr>Befolkningsprognose 2020 -2030</vt:lpstr>
    </vt:vector>
  </TitlesOfParts>
  <Company>Brøndby Kommune</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Befolkningsprognose 2020 -2030</dc:title>
  <dc:subject>Bilagsdelen</dc:subject>
  <dc:creator>Anders Junker Pedersen</dc:creator>
  <cp:keywords/>
  <dc:description/>
  <cp:lastModifiedBy>Jacob Thejlman Bruun</cp:lastModifiedBy>
  <cp:revision>2</cp:revision>
  <dcterms:created xsi:type="dcterms:W3CDTF">2020-08-21T07:12:00Z</dcterms:created>
  <dcterms:modified xsi:type="dcterms:W3CDTF">2020-08-21T07:12:00Z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23000293019-113095438927297</vt:lpwstr>
  </property>
  <property fmtid="{D5CDD505-2E9C-101B-9397-08002B2CF9AE}" pid="3" name="DocumentNumber">
    <vt:lpwstr>D2019-99523</vt:lpwstr>
  </property>
  <property fmtid="{D5CDD505-2E9C-101B-9397-08002B2CF9AE}" pid="4" name="DocumentContentId">
    <vt:lpwstr>9D3D19B626974090856D792F6A4AADD9</vt:lpwstr>
  </property>
  <property fmtid="{D5CDD505-2E9C-101B-9397-08002B2CF9AE}" pid="5" name="DocumentReadOnly">
    <vt:lpwstr>True</vt:lpwstr>
  </property>
  <property fmtid="{D5CDD505-2E9C-101B-9397-08002B2CF9AE}" pid="6" name="IsNovaDocument">
    <vt:lpwstr>True</vt:lpwstr>
  </property>
</Properties>
</file>